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5A60B" w14:textId="77777777" w:rsidR="00B664C5" w:rsidRPr="00B664C5" w:rsidRDefault="00B664C5" w:rsidP="00B664C5">
      <w:pPr>
        <w:pStyle w:val="Titel"/>
        <w:rPr>
          <w:sz w:val="44"/>
          <w:szCs w:val="44"/>
          <w:lang w:val="nl-BE"/>
        </w:rPr>
      </w:pPr>
      <w:r w:rsidRPr="00B664C5">
        <w:rPr>
          <w:sz w:val="44"/>
          <w:szCs w:val="44"/>
          <w:lang w:val="nl-BE"/>
        </w:rPr>
        <w:t>EFRO Vlaanderen 202</w:t>
      </w:r>
      <w:r w:rsidR="008E6118">
        <w:rPr>
          <w:sz w:val="44"/>
          <w:szCs w:val="44"/>
          <w:lang w:val="nl-BE"/>
        </w:rPr>
        <w:t>1</w:t>
      </w:r>
      <w:r w:rsidRPr="00B664C5">
        <w:rPr>
          <w:sz w:val="44"/>
          <w:szCs w:val="44"/>
          <w:lang w:val="nl-BE"/>
        </w:rPr>
        <w:t>-2027</w:t>
      </w:r>
    </w:p>
    <w:p w14:paraId="28CFABAB" w14:textId="47F8D81A" w:rsidR="00B664C5" w:rsidRDefault="00E35553" w:rsidP="00B664C5">
      <w:pPr>
        <w:pStyle w:val="Titel"/>
        <w:rPr>
          <w:sz w:val="44"/>
          <w:szCs w:val="44"/>
          <w:lang w:val="nl-BE"/>
        </w:rPr>
      </w:pPr>
      <w:r>
        <w:rPr>
          <w:sz w:val="44"/>
          <w:szCs w:val="44"/>
          <w:lang w:val="nl-BE"/>
        </w:rPr>
        <w:t>Aanpassingen p</w:t>
      </w:r>
      <w:r w:rsidR="000533F8">
        <w:rPr>
          <w:sz w:val="44"/>
          <w:szCs w:val="44"/>
          <w:lang w:val="nl-BE"/>
        </w:rPr>
        <w:t>rojectoproep- en selectieprocedure</w:t>
      </w:r>
    </w:p>
    <w:p w14:paraId="04C7A3C2" w14:textId="77777777" w:rsidR="00F13E4C" w:rsidRPr="00F13E4C" w:rsidRDefault="00F13E4C" w:rsidP="00F13E4C">
      <w:pPr>
        <w:rPr>
          <w:lang w:val="nl-BE"/>
        </w:rPr>
      </w:pPr>
    </w:p>
    <w:p w14:paraId="23FE2935" w14:textId="77777777" w:rsidR="00F13E4C" w:rsidRPr="00F13E4C" w:rsidRDefault="00F13E4C" w:rsidP="00F13E4C">
      <w:pPr>
        <w:rPr>
          <w:rFonts w:ascii="FlandersArtSans-Regular" w:hAnsi="FlandersArtSans-Regular"/>
          <w:b/>
          <w:bCs/>
          <w:u w:val="single"/>
          <w:lang w:val="nl-BE"/>
        </w:rPr>
      </w:pPr>
      <w:r w:rsidRPr="00F13E4C">
        <w:rPr>
          <w:rFonts w:ascii="FlandersArtSans-Regular" w:hAnsi="FlandersArtSans-Regular"/>
          <w:b/>
          <w:bCs/>
          <w:u w:val="single"/>
          <w:lang w:val="nl-BE"/>
        </w:rPr>
        <w:t>A. Aanpassingen na eerste Monitoringscomité EFRO Vlaanderen 2021-2027 van 7 september 2022</w:t>
      </w:r>
    </w:p>
    <w:p w14:paraId="687FA3F4" w14:textId="77777777" w:rsidR="00F13E4C" w:rsidRPr="00F13E4C" w:rsidRDefault="00F13E4C" w:rsidP="00F13E4C">
      <w:pPr>
        <w:rPr>
          <w:rFonts w:ascii="FlandersArtSans-Regular" w:hAnsi="FlandersArtSans-Regular"/>
          <w:b/>
          <w:bCs/>
          <w:u w:val="single"/>
          <w:lang w:val="nl-BE"/>
        </w:rPr>
      </w:pPr>
    </w:p>
    <w:p w14:paraId="03C1AF58" w14:textId="77777777" w:rsidR="00F13E4C" w:rsidRPr="00F13E4C" w:rsidRDefault="00F13E4C" w:rsidP="00F13E4C">
      <w:pPr>
        <w:numPr>
          <w:ilvl w:val="0"/>
          <w:numId w:val="24"/>
        </w:numPr>
        <w:rPr>
          <w:rFonts w:ascii="FlandersArtSans-Regular" w:hAnsi="FlandersArtSans-Regular"/>
          <w:b/>
          <w:bCs/>
          <w:lang w:val="nl-BE"/>
        </w:rPr>
      </w:pPr>
      <w:r w:rsidRPr="00F13E4C">
        <w:rPr>
          <w:rFonts w:ascii="FlandersArtSans-Regular" w:hAnsi="FlandersArtSans-Regular"/>
          <w:b/>
          <w:bCs/>
          <w:lang w:val="nl-BE"/>
        </w:rPr>
        <w:t>Facultatieve aftoetsing vooraanmeldingen aan GTI-strategie</w:t>
      </w:r>
    </w:p>
    <w:p w14:paraId="3870856E"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Tijdens het eerste Monitoringscomité EFRO Vlaanderen 2021-2027 op 7 september 2022 werd gevraagd of de beoordeling over de inpassing binnen de GTI-strategie sneller in het proces kan, zonder dat eerst de volledige selectieprocedure doorlopen moet worden.</w:t>
      </w:r>
    </w:p>
    <w:p w14:paraId="4FBBAB38"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 </w:t>
      </w:r>
    </w:p>
    <w:p w14:paraId="6DA47083"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Om hieraan tegemoet te komen en binnen het kader van de algemeen aanvaarde positieve elementen (vooraanmeldingen, vaste oproepkalender) te blijven, wordt voorgesteld dat tijdens de feedbackfase op de vooraanmeldingen ook de inpasbaarheid van projectideeën binnen de GTI-strategie onderzocht kan worden door de GTI Stuurgroep. Deze mogelijkheid is facultatief. </w:t>
      </w:r>
      <w:bookmarkStart w:id="0" w:name="_Hlk124845919"/>
      <w:r w:rsidRPr="00F13E4C">
        <w:rPr>
          <w:rFonts w:ascii="FlandersArtSans-Regular" w:hAnsi="FlandersArtSans-Regular"/>
          <w:lang w:val="nl-BE"/>
        </w:rPr>
        <w:t xml:space="preserve">De Stuurgroep dient aan te geven indien het van deze mogelijkheid gebruik wil maken. </w:t>
      </w:r>
      <w:bookmarkEnd w:id="0"/>
      <w:r w:rsidRPr="00F13E4C">
        <w:rPr>
          <w:rFonts w:ascii="FlandersArtSans-Regular" w:hAnsi="FlandersArtSans-Regular"/>
          <w:lang w:val="nl-BE"/>
        </w:rPr>
        <w:t xml:space="preserve">Hierdoor zal de indicatieve timing van feedback verlengd worden van 2 weken naar 3 weken. </w:t>
      </w:r>
    </w:p>
    <w:p w14:paraId="587D4461" w14:textId="77777777" w:rsidR="00F13E4C" w:rsidRPr="00F13E4C" w:rsidRDefault="00F13E4C" w:rsidP="00F13E4C">
      <w:pPr>
        <w:rPr>
          <w:rFonts w:ascii="FlandersArtSans-Regular" w:hAnsi="FlandersArtSans-Regular"/>
          <w:lang w:val="nl-BE"/>
        </w:rPr>
      </w:pPr>
    </w:p>
    <w:p w14:paraId="58B52191" w14:textId="77777777" w:rsidR="00F13E4C" w:rsidRPr="00F13E4C" w:rsidRDefault="00F13E4C" w:rsidP="00F13E4C">
      <w:pPr>
        <w:numPr>
          <w:ilvl w:val="0"/>
          <w:numId w:val="24"/>
        </w:numPr>
        <w:rPr>
          <w:rFonts w:ascii="FlandersArtSans-Regular" w:hAnsi="FlandersArtSans-Regular"/>
          <w:b/>
          <w:bCs/>
          <w:lang w:val="nl-BE"/>
        </w:rPr>
      </w:pPr>
      <w:r w:rsidRPr="00F13E4C">
        <w:rPr>
          <w:rFonts w:ascii="FlandersArtSans-Regular" w:hAnsi="FlandersArtSans-Regular"/>
          <w:b/>
          <w:bCs/>
          <w:lang w:val="nl-BE"/>
        </w:rPr>
        <w:t>Verduidelijking individuele score en rangschikking bij beoordeling</w:t>
      </w:r>
    </w:p>
    <w:p w14:paraId="37D599D5"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In de beschrijving van de projectoproep- en selectieprocedure werd bij het onderdeel m.b.t. financiële enveloppe (2.4) verduidelijkt dat projecten individueel gescoord en gerangschikt worden ten opzichte van de beschikbare enveloppe. </w:t>
      </w:r>
    </w:p>
    <w:p w14:paraId="187B5846" w14:textId="77777777" w:rsidR="00F13E4C" w:rsidRPr="00F13E4C" w:rsidRDefault="00F13E4C" w:rsidP="00F13E4C">
      <w:pPr>
        <w:rPr>
          <w:rFonts w:ascii="FlandersArtSans-Regular" w:hAnsi="FlandersArtSans-Regular"/>
          <w:lang w:val="nl-BE"/>
        </w:rPr>
      </w:pPr>
    </w:p>
    <w:p w14:paraId="4EF62B61" w14:textId="79E20CAF" w:rsidR="00F13E4C" w:rsidRDefault="00F13E4C" w:rsidP="00F13E4C">
      <w:pPr>
        <w:rPr>
          <w:rFonts w:ascii="FlandersArtSans-Regular" w:hAnsi="FlandersArtSans-Regular"/>
          <w:b/>
          <w:bCs/>
          <w:u w:val="single"/>
          <w:lang w:val="nl-BE"/>
        </w:rPr>
      </w:pPr>
      <w:r w:rsidRPr="00F13E4C">
        <w:rPr>
          <w:rFonts w:ascii="FlandersArtSans-Regular" w:hAnsi="FlandersArtSans-Regular"/>
          <w:b/>
          <w:bCs/>
          <w:u w:val="single"/>
          <w:lang w:val="nl-BE"/>
        </w:rPr>
        <w:t>B. Inpassing beoordeling transversale thema’s en toevoeging verplichte bepaling VN Verdrag inzake de Rechten van Personen met een Handicap (UNCRPD) en het Handvest van de grondrechten van de EU</w:t>
      </w:r>
    </w:p>
    <w:p w14:paraId="700D9327" w14:textId="77777777" w:rsidR="00F13E4C" w:rsidRPr="00F13E4C" w:rsidRDefault="00F13E4C" w:rsidP="00F13E4C">
      <w:pPr>
        <w:rPr>
          <w:rFonts w:ascii="FlandersArtSans-Regular" w:hAnsi="FlandersArtSans-Regular"/>
          <w:b/>
          <w:bCs/>
          <w:u w:val="single"/>
          <w:lang w:val="nl-BE"/>
        </w:rPr>
      </w:pPr>
    </w:p>
    <w:p w14:paraId="54EAF9AF" w14:textId="77777777" w:rsidR="00F13E4C" w:rsidRPr="00F13E4C" w:rsidRDefault="00F13E4C" w:rsidP="00F13E4C">
      <w:pPr>
        <w:numPr>
          <w:ilvl w:val="0"/>
          <w:numId w:val="20"/>
        </w:numPr>
        <w:rPr>
          <w:rFonts w:ascii="FlandersArtSans-Regular" w:hAnsi="FlandersArtSans-Regular"/>
          <w:b/>
          <w:bCs/>
          <w:lang w:val="nl-BE"/>
        </w:rPr>
      </w:pPr>
      <w:r w:rsidRPr="00F13E4C">
        <w:rPr>
          <w:rFonts w:ascii="FlandersArtSans-Regular" w:hAnsi="FlandersArtSans-Regular"/>
          <w:b/>
          <w:bCs/>
          <w:lang w:val="nl-BE"/>
        </w:rPr>
        <w:t>Inleiding / context</w:t>
      </w:r>
    </w:p>
    <w:p w14:paraId="5579996C"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Bij de feedback op het OP 2021-2027 werd door de EC een bemerking geformuleerd over de waarborging van gelijkheid, inclusie en non-discriminatie en het beginsel van duurzame ontwikkeling. </w:t>
      </w:r>
    </w:p>
    <w:p w14:paraId="34FF9ED3"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Deze bemerkingen werden als volgt geformuleerd: </w:t>
      </w:r>
    </w:p>
    <w:p w14:paraId="4D7CCF48" w14:textId="77777777" w:rsidR="00F13E4C" w:rsidRPr="00F13E4C" w:rsidRDefault="00F13E4C" w:rsidP="00F13E4C">
      <w:pPr>
        <w:numPr>
          <w:ilvl w:val="0"/>
          <w:numId w:val="21"/>
        </w:numPr>
        <w:rPr>
          <w:rFonts w:ascii="FlandersArtSans-Regular" w:hAnsi="FlandersArtSans-Regular"/>
          <w:lang w:val="nl-BE"/>
        </w:rPr>
      </w:pPr>
      <w:r w:rsidRPr="00F13E4C">
        <w:rPr>
          <w:rFonts w:ascii="FlandersArtSans-Regular" w:hAnsi="FlandersArtSans-Regular"/>
          <w:lang w:val="nl-BE"/>
        </w:rPr>
        <w:t xml:space="preserve">Wij nemen nota van de maatregelen/regelingen om te voldoen aan de randvoorwaarden in verband met het Handvest van de grondrechten en het UNCRPD. Wat de acties ter </w:t>
      </w:r>
      <w:r w:rsidRPr="00F13E4C">
        <w:rPr>
          <w:rFonts w:ascii="FlandersArtSans-Regular" w:hAnsi="FlandersArtSans-Regular"/>
          <w:b/>
          <w:bCs/>
          <w:lang w:val="nl-BE"/>
        </w:rPr>
        <w:t>waarborging van gelijkheid, inclusie en non-discriminatie</w:t>
      </w:r>
      <w:r w:rsidRPr="00F13E4C">
        <w:rPr>
          <w:rFonts w:ascii="FlandersArtSans-Regular" w:hAnsi="FlandersArtSans-Regular"/>
          <w:lang w:val="nl-BE"/>
        </w:rPr>
        <w:t xml:space="preserve"> in het kader van elke specifieke doelstelling betreft, vragen wij de Beheersautoriteit meer informatie te verstrekken over de wijze waarop de acties ten goede zullen komen aan kwetsbare groepen (bv. gerichte acties). Wij bevelen eveneens aan de bestaande inzet voor horizontale beginselen als volgt te versterken: „Voor alle programmerings- en uitvoeringsfasen van het programma waarborgen de bevoegde autoriteiten de eerbiediging van de grondrechten en gendermainstreaming, voorkomen zij discriminatie op grond van geslacht, ras of etnische afstamming, godsdienst of overtuiging, handicap, leeftijd of seksuele geaardheid, en houden zij rekening met de toegankelijkheid voor personen met een handicap. De maatregelen zullen ervoor zorgen dat de beginselen van niet-segregatie, zelfstandig leven, keuzevrijheid en toegankelijkheid (UNCRPD en Handvest van de grondrechten van de EU) naar behoren in acht worden genomen.”</w:t>
      </w:r>
    </w:p>
    <w:p w14:paraId="4828D3B3" w14:textId="77777777" w:rsidR="00F13E4C" w:rsidRPr="00F13E4C" w:rsidRDefault="00F13E4C" w:rsidP="00F13E4C">
      <w:pPr>
        <w:numPr>
          <w:ilvl w:val="0"/>
          <w:numId w:val="21"/>
        </w:numPr>
        <w:rPr>
          <w:rFonts w:ascii="FlandersArtSans-Regular" w:hAnsi="FlandersArtSans-Regular"/>
          <w:lang w:val="nl-BE"/>
        </w:rPr>
      </w:pPr>
      <w:r w:rsidRPr="00F13E4C">
        <w:rPr>
          <w:rFonts w:ascii="FlandersArtSans-Regular" w:hAnsi="FlandersArtSans-Regular"/>
          <w:lang w:val="nl-BE"/>
        </w:rPr>
        <w:t xml:space="preserve">Naast het beginsel </w:t>
      </w:r>
      <w:r w:rsidRPr="00F13E4C">
        <w:rPr>
          <w:rFonts w:ascii="FlandersArtSans-Regular" w:hAnsi="FlandersArtSans-Regular"/>
          <w:b/>
          <w:bCs/>
          <w:lang w:val="nl-BE"/>
        </w:rPr>
        <w:t>„geen ernstige afbreuk doen”</w:t>
      </w:r>
      <w:r w:rsidRPr="00F13E4C">
        <w:rPr>
          <w:rFonts w:ascii="FlandersArtSans-Regular" w:hAnsi="FlandersArtSans-Regular"/>
          <w:lang w:val="nl-BE"/>
        </w:rPr>
        <w:t xml:space="preserve"> in het programma moet het programma ook doeltreffend en praktisch rekening houden met het beginsel van </w:t>
      </w:r>
      <w:r w:rsidRPr="00F13E4C">
        <w:rPr>
          <w:rFonts w:ascii="FlandersArtSans-Regular" w:hAnsi="FlandersArtSans-Regular"/>
          <w:b/>
          <w:bCs/>
          <w:lang w:val="nl-BE"/>
        </w:rPr>
        <w:t>duurzame ontwikkeling/milieu</w:t>
      </w:r>
      <w:r w:rsidRPr="00F13E4C">
        <w:rPr>
          <w:rFonts w:ascii="FlandersArtSans-Regular" w:hAnsi="FlandersArtSans-Regular"/>
          <w:lang w:val="nl-BE"/>
        </w:rPr>
        <w:t>.</w:t>
      </w:r>
    </w:p>
    <w:p w14:paraId="614E4BFF"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Om aan deze bemerkingen tegemoet te komen, werd o.a. beslist om acties rond de transversale thema’s op te nemen in het selectieproces. In eerste instantie moet naar dergelijke acties dan uiteraard worden gepeild via het aanvraagformulier. Het aanvraagformulier werd in die zin reeds aangepast (zie punt 2). </w:t>
      </w:r>
    </w:p>
    <w:p w14:paraId="13C66AE7"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Daarnaast moet de beoordeling ervan ook worden ingebed in de projectbeoordeling. </w:t>
      </w:r>
    </w:p>
    <w:p w14:paraId="3DFFDDA9" w14:textId="77777777" w:rsidR="00F13E4C" w:rsidRPr="00F13E4C" w:rsidRDefault="00F13E4C" w:rsidP="00F13E4C">
      <w:pPr>
        <w:rPr>
          <w:rFonts w:ascii="FlandersArtSans-Regular" w:hAnsi="FlandersArtSans-Regular"/>
          <w:lang w:val="nl-BE"/>
        </w:rPr>
      </w:pPr>
    </w:p>
    <w:p w14:paraId="1BE769A6" w14:textId="77777777" w:rsidR="00F13E4C" w:rsidRPr="00F13E4C" w:rsidRDefault="00F13E4C" w:rsidP="00F13E4C">
      <w:pPr>
        <w:numPr>
          <w:ilvl w:val="0"/>
          <w:numId w:val="20"/>
        </w:numPr>
        <w:rPr>
          <w:rFonts w:ascii="FlandersArtSans-Regular" w:hAnsi="FlandersArtSans-Regular"/>
          <w:b/>
          <w:bCs/>
          <w:lang w:val="nl-BE"/>
        </w:rPr>
      </w:pPr>
      <w:r w:rsidRPr="00F13E4C">
        <w:rPr>
          <w:rFonts w:ascii="FlandersArtSans-Regular" w:hAnsi="FlandersArtSans-Regular"/>
          <w:b/>
          <w:bCs/>
          <w:lang w:val="nl-BE"/>
        </w:rPr>
        <w:t>Formulering aanvraagformulier</w:t>
      </w:r>
    </w:p>
    <w:p w14:paraId="17CCC333"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De vragen over de transversale thema’s zijn ondergebracht in het tabblad ‘Doelstellingen en activiteiten’ en zijn als volgt geformuleerd: </w:t>
      </w:r>
    </w:p>
    <w:p w14:paraId="2569305B" w14:textId="77777777" w:rsidR="00F13E4C" w:rsidRPr="00F13E4C" w:rsidRDefault="00F13E4C" w:rsidP="00F13E4C">
      <w:pPr>
        <w:numPr>
          <w:ilvl w:val="0"/>
          <w:numId w:val="19"/>
        </w:numPr>
        <w:rPr>
          <w:rFonts w:ascii="FlandersArtSans-Regular" w:hAnsi="FlandersArtSans-Regular"/>
          <w:lang w:val="nl-BE"/>
        </w:rPr>
      </w:pPr>
      <w:r w:rsidRPr="00F13E4C">
        <w:rPr>
          <w:rFonts w:ascii="FlandersArtSans-Regular" w:hAnsi="FlandersArtSans-Regular"/>
          <w:lang w:val="nl-BE"/>
        </w:rPr>
        <w:t xml:space="preserve">Welke specifieke acties die een positieve bijdrage leveren aan duurzame ontwikkeling voorziet het project? </w:t>
      </w:r>
    </w:p>
    <w:p w14:paraId="4F70C8B5" w14:textId="77777777" w:rsidR="00F13E4C" w:rsidRPr="00F13E4C" w:rsidRDefault="00F13E4C" w:rsidP="00F13E4C">
      <w:pPr>
        <w:numPr>
          <w:ilvl w:val="1"/>
          <w:numId w:val="19"/>
        </w:numPr>
        <w:rPr>
          <w:rFonts w:ascii="FlandersArtSans-Regular" w:hAnsi="FlandersArtSans-Regular"/>
          <w:lang w:val="nl-BE"/>
        </w:rPr>
      </w:pPr>
      <w:r w:rsidRPr="00F13E4C">
        <w:rPr>
          <w:rFonts w:ascii="FlandersArtSans-Regular" w:hAnsi="FlandersArtSans-Regular"/>
          <w:lang w:val="nl-BE"/>
        </w:rPr>
        <w:t xml:space="preserve">Duurzame ontwikkeling is een model dat het mogelijk maakt het welzijn van de huidige generaties te maximaliseren zonder het welzijn van toekomstige generaties in het gedrang te brengen. Duurzame ontwikkeling wordt vaak voorgesteld door de 3P’s: people, planet, profit / prosperity (winst/welvaart). Deze P’s staan respectievelijk voor de sociale, ecologische en economische dimensies van het begrip. Bij duurzame ontwikkeling moet men ernaar streven om deze 3 P’s harmonieus te laten werken. Hou hierbij ook rekening met zowel de directe projectacties (bijvoorbeeld: realisatie van investeringen) als de gevolgen die de projectacties teweeg brengen (de finale doelstellingen van het project / exploitatie). </w:t>
      </w:r>
    </w:p>
    <w:p w14:paraId="34D0A3B1" w14:textId="77777777" w:rsidR="00F13E4C" w:rsidRPr="00F13E4C" w:rsidRDefault="00F13E4C" w:rsidP="00F13E4C">
      <w:pPr>
        <w:numPr>
          <w:ilvl w:val="0"/>
          <w:numId w:val="19"/>
        </w:numPr>
        <w:rPr>
          <w:rFonts w:ascii="FlandersArtSans-Regular" w:hAnsi="FlandersArtSans-Regular"/>
          <w:lang w:val="nl-BE"/>
        </w:rPr>
      </w:pPr>
      <w:r w:rsidRPr="00F13E4C">
        <w:rPr>
          <w:rFonts w:ascii="FlandersArtSans-Regular" w:hAnsi="FlandersArtSans-Regular"/>
          <w:lang w:val="nl-BE"/>
        </w:rPr>
        <w:t xml:space="preserve">Welke specifieke acties ter bevordering van de bescherming of verbetering van het leefmilieu voorziet het project? Wat is het effect van het project op het milieu / klimaatsverandering? Welke acties zijn ondernomen om de klimaatbestendigheid van de (eventuele) investeringen te waarborgen? </w:t>
      </w:r>
    </w:p>
    <w:p w14:paraId="43249245" w14:textId="77777777" w:rsidR="00F13E4C" w:rsidRPr="00F13E4C" w:rsidRDefault="00F13E4C" w:rsidP="00F13E4C">
      <w:pPr>
        <w:numPr>
          <w:ilvl w:val="1"/>
          <w:numId w:val="19"/>
        </w:numPr>
        <w:rPr>
          <w:rFonts w:ascii="FlandersArtSans-Regular" w:hAnsi="FlandersArtSans-Regular"/>
          <w:lang w:val="nl-BE"/>
        </w:rPr>
      </w:pPr>
      <w:r w:rsidRPr="00F13E4C">
        <w:rPr>
          <w:rFonts w:ascii="FlandersArtSans-Regular" w:hAnsi="FlandersArtSans-Regular"/>
          <w:lang w:val="nl-BE"/>
        </w:rPr>
        <w:t xml:space="preserve">Mogelijke voorbeelden zijn: schadelijk effect voor het watersysteem zoveel mogelijk beperken / herstellen of compenseren; spaarzamer omgaan met water (minder leidingwater, meer regenwater); gebruik van grondwater aanmoedigen, overmatige aanwezigheid van nutritiënten voorkomen; gebruik van pesticiden en insecticiden beperken; opvang en gebruik van hemelwater; luchtverontreiniging voorkomen / beperken: uitstoot van fijn stof, luchtvervuilende stoffen beperken (filters, ontstoffing- en zuiveringsinstallaties, roetfilters); reductie diverse polluenten emissies naar de lucht, erosie tegengaan (aangepaste stroom, groene warmte, biobrandstoffen); recyclage of compostering. Hoe goed is de investering beschermd tegen de effecten van klimaatsverandering (extreme hitte en langdurige regenval) en hoe zijn deze ingrepen compatibel met bescherming van leefmilieu? Hou hierbij rekening met zowel de projectacties (bijvoorbeeld: realisatie van investeringen) als de gevolgen ervan (de finale doelstelling van het project / exploitatie). </w:t>
      </w:r>
    </w:p>
    <w:p w14:paraId="6D0C3A27" w14:textId="77777777" w:rsidR="00F13E4C" w:rsidRPr="00F13E4C" w:rsidRDefault="00F13E4C" w:rsidP="00F13E4C">
      <w:pPr>
        <w:numPr>
          <w:ilvl w:val="0"/>
          <w:numId w:val="19"/>
        </w:numPr>
        <w:rPr>
          <w:rFonts w:ascii="FlandersArtSans-Regular" w:hAnsi="FlandersArtSans-Regular"/>
          <w:lang w:val="nl-BE"/>
        </w:rPr>
      </w:pPr>
      <w:r w:rsidRPr="00F13E4C">
        <w:rPr>
          <w:rFonts w:ascii="FlandersArtSans-Regular" w:hAnsi="FlandersArtSans-Regular"/>
          <w:lang w:val="nl-BE"/>
        </w:rPr>
        <w:t xml:space="preserve">Welke specifieke acties die een positieve bijdrage leveren aan de gelijkheid van kansen voorziet het project? </w:t>
      </w:r>
    </w:p>
    <w:p w14:paraId="091FE940" w14:textId="77777777" w:rsidR="00F13E4C" w:rsidRPr="00F13E4C" w:rsidRDefault="00F13E4C" w:rsidP="00F13E4C">
      <w:pPr>
        <w:numPr>
          <w:ilvl w:val="1"/>
          <w:numId w:val="19"/>
        </w:numPr>
        <w:rPr>
          <w:rFonts w:ascii="FlandersArtSans-Regular" w:hAnsi="FlandersArtSans-Regular"/>
          <w:lang w:val="nl-BE"/>
        </w:rPr>
      </w:pPr>
      <w:r w:rsidRPr="00F13E4C">
        <w:rPr>
          <w:rFonts w:ascii="FlandersArtSans-Regular" w:hAnsi="FlandersArtSans-Regular"/>
          <w:lang w:val="nl-BE"/>
        </w:rPr>
        <w:t xml:space="preserve">Gelijkheid van kansen is het ontbreken van belemmeringen die verbonden zijn aan geslacht, fysieke beperking, afkomst, leeftijd,… voor deelname aan het economisch, politieke en sociale leven. Hoe wordt de toegankelijkheid voor personen met een beperking gewaarborgd? Hoe wordt de gendergelijkheid gewaarborgd? Hou hierbij rekening met zowel de directe projectacties (bijvoorbeeld investeringen) als de gevolgen ervan (de finale doelstelling van het project / exploitatie). </w:t>
      </w:r>
    </w:p>
    <w:p w14:paraId="2843F220"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Bijkomende bemerking: </w:t>
      </w:r>
    </w:p>
    <w:p w14:paraId="51AC801A" w14:textId="77777777" w:rsidR="00F13E4C" w:rsidRPr="00F13E4C" w:rsidRDefault="00F13E4C" w:rsidP="00F13E4C">
      <w:pPr>
        <w:numPr>
          <w:ilvl w:val="0"/>
          <w:numId w:val="22"/>
        </w:numPr>
        <w:rPr>
          <w:rFonts w:ascii="FlandersArtSans-Regular" w:hAnsi="FlandersArtSans-Regular"/>
          <w:lang w:val="nl-BE"/>
        </w:rPr>
      </w:pPr>
      <w:r w:rsidRPr="00F13E4C">
        <w:rPr>
          <w:rFonts w:ascii="FlandersArtSans-Regular" w:hAnsi="FlandersArtSans-Regular"/>
          <w:lang w:val="nl-BE"/>
        </w:rPr>
        <w:t xml:space="preserve">In de bemerking van de EC wordt expliciet verwezen naar UNCRPD en Handvest van de grondrechten van de EU. Dit werd niet expliciet benoemd in de formulering van het aanvraagformulier. Dit werd opgevangen door een formulering terzake te voorzien in het tabblad ‘verplichte bepalingen’. Deze bepaling werd als volgt geformuleerd: </w:t>
      </w:r>
    </w:p>
    <w:p w14:paraId="61BB546A" w14:textId="77777777" w:rsidR="00F13E4C" w:rsidRPr="00F13E4C" w:rsidRDefault="00F13E4C" w:rsidP="00F13E4C">
      <w:pPr>
        <w:numPr>
          <w:ilvl w:val="0"/>
          <w:numId w:val="22"/>
        </w:numPr>
        <w:rPr>
          <w:rFonts w:ascii="FlandersArtSans-Regular" w:hAnsi="FlandersArtSans-Regular"/>
          <w:lang w:val="nl-BE"/>
        </w:rPr>
      </w:pPr>
      <w:r w:rsidRPr="00F13E4C">
        <w:rPr>
          <w:rFonts w:ascii="FlandersArtSans-Regular" w:hAnsi="FlandersArtSans-Regular"/>
          <w:lang w:val="nl-BE"/>
        </w:rPr>
        <w:t xml:space="preserve">“De aanvrager verbindt zich ertoe de beginselen van non-discriminatie, niet-segregatie, zelfstandig leven, keuzevrijheid en toegankelijkheid zoals geformuleerd in het </w:t>
      </w:r>
      <w:bookmarkStart w:id="1" w:name="_Hlk124843838"/>
      <w:r w:rsidRPr="00F13E4C">
        <w:rPr>
          <w:rFonts w:ascii="FlandersArtSans-Regular" w:hAnsi="FlandersArtSans-Regular"/>
          <w:lang w:val="nl-BE"/>
        </w:rPr>
        <w:t xml:space="preserve">VN Verdrag inzake de Rechten van Personen met een Handicap (UNCRPD) en het Handvest van de grondrechten van de EU </w:t>
      </w:r>
      <w:bookmarkEnd w:id="1"/>
      <w:r w:rsidRPr="00F13E4C">
        <w:rPr>
          <w:rFonts w:ascii="FlandersArtSans-Regular" w:hAnsi="FlandersArtSans-Regular"/>
          <w:lang w:val="nl-BE"/>
        </w:rPr>
        <w:t xml:space="preserve">te respecteren.” </w:t>
      </w:r>
    </w:p>
    <w:p w14:paraId="6AA240B8" w14:textId="77777777" w:rsidR="00F13E4C" w:rsidRPr="00F13E4C" w:rsidRDefault="00F13E4C" w:rsidP="00F13E4C">
      <w:pPr>
        <w:numPr>
          <w:ilvl w:val="0"/>
          <w:numId w:val="22"/>
        </w:numPr>
        <w:rPr>
          <w:rFonts w:ascii="FlandersArtSans-Regular" w:hAnsi="FlandersArtSans-Regular"/>
          <w:lang w:val="nl-BE"/>
        </w:rPr>
      </w:pPr>
      <w:r w:rsidRPr="00F13E4C">
        <w:rPr>
          <w:rFonts w:ascii="FlandersArtSans-Regular" w:hAnsi="FlandersArtSans-Regular"/>
          <w:lang w:val="nl-BE"/>
        </w:rPr>
        <w:t>Projecten die zich hier niet toe verbinden, kunnen bijgevolg geen EFRO-project indienen.</w:t>
      </w:r>
    </w:p>
    <w:p w14:paraId="6D99C75B" w14:textId="77777777" w:rsidR="00F13E4C" w:rsidRPr="00F13E4C" w:rsidRDefault="00F13E4C" w:rsidP="00F13E4C">
      <w:pPr>
        <w:rPr>
          <w:rFonts w:ascii="FlandersArtSans-Regular" w:hAnsi="FlandersArtSans-Regular"/>
          <w:lang w:val="nl-BE"/>
        </w:rPr>
      </w:pPr>
    </w:p>
    <w:p w14:paraId="3F81D935" w14:textId="77777777" w:rsidR="00F13E4C" w:rsidRPr="00F13E4C" w:rsidRDefault="00F13E4C" w:rsidP="00F13E4C">
      <w:pPr>
        <w:rPr>
          <w:rFonts w:ascii="FlandersArtSans-Regular" w:hAnsi="FlandersArtSans-Regular"/>
          <w:lang w:val="nl-BE"/>
        </w:rPr>
      </w:pPr>
    </w:p>
    <w:p w14:paraId="73769680" w14:textId="77777777" w:rsidR="00F13E4C" w:rsidRPr="00F13E4C" w:rsidRDefault="00F13E4C" w:rsidP="00F13E4C">
      <w:pPr>
        <w:numPr>
          <w:ilvl w:val="0"/>
          <w:numId w:val="20"/>
        </w:numPr>
        <w:rPr>
          <w:rFonts w:ascii="FlandersArtSans-Regular" w:hAnsi="FlandersArtSans-Regular"/>
          <w:b/>
          <w:bCs/>
          <w:lang w:val="nl-BE"/>
        </w:rPr>
      </w:pPr>
      <w:r w:rsidRPr="00F13E4C">
        <w:rPr>
          <w:rFonts w:ascii="FlandersArtSans-Regular" w:hAnsi="FlandersArtSans-Regular"/>
          <w:b/>
          <w:bCs/>
          <w:lang w:val="nl-BE"/>
        </w:rPr>
        <w:t>Score Beoordelingsformulier</w:t>
      </w:r>
    </w:p>
    <w:p w14:paraId="27789AF2"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lastRenderedPageBreak/>
        <w:t xml:space="preserve">De beoordeling van het selectiecriterium ‘transversale thema’s’ werd ingepast in de globale beoordelingsmatrix. Bij deze inpassing zijn er volgende overwegingen waarmee rekening moet worden gehouden: </w:t>
      </w:r>
    </w:p>
    <w:p w14:paraId="58DD05DD" w14:textId="77777777" w:rsidR="00F13E4C" w:rsidRPr="00F13E4C" w:rsidRDefault="00F13E4C" w:rsidP="00F13E4C">
      <w:pPr>
        <w:numPr>
          <w:ilvl w:val="0"/>
          <w:numId w:val="22"/>
        </w:numPr>
        <w:rPr>
          <w:rFonts w:ascii="FlandersArtSans-Regular" w:hAnsi="FlandersArtSans-Regular"/>
          <w:lang w:val="nl-BE"/>
        </w:rPr>
      </w:pPr>
      <w:r w:rsidRPr="00F13E4C">
        <w:rPr>
          <w:rFonts w:ascii="FlandersArtSans-Regular" w:hAnsi="FlandersArtSans-Regular"/>
          <w:lang w:val="nl-BE"/>
        </w:rPr>
        <w:t xml:space="preserve">Bepalen van de score: om het bestaande evenwicht tussen de selectiecriteria niet te verstoren en vermits de input op het criterium ‘transversale thema’s’ wellicht vrij generiek zal zijn (verwijzing naar de bestaande wettelijke bepalingen die al vrij veel garanties bieden op dit vlak), wordt voorgesteld om voor de transversale thema’s een score van 5 te voorzien. </w:t>
      </w:r>
    </w:p>
    <w:p w14:paraId="3236C1DB" w14:textId="77777777" w:rsidR="00F13E4C" w:rsidRPr="00F13E4C" w:rsidRDefault="00F13E4C" w:rsidP="00F13E4C">
      <w:pPr>
        <w:numPr>
          <w:ilvl w:val="0"/>
          <w:numId w:val="22"/>
        </w:numPr>
        <w:rPr>
          <w:rFonts w:ascii="FlandersArtSans-Regular" w:hAnsi="FlandersArtSans-Regular"/>
          <w:lang w:val="nl-BE"/>
        </w:rPr>
      </w:pPr>
      <w:r w:rsidRPr="00F13E4C">
        <w:rPr>
          <w:rFonts w:ascii="FlandersArtSans-Regular" w:hAnsi="FlandersArtSans-Regular"/>
          <w:lang w:val="nl-BE"/>
        </w:rPr>
        <w:t xml:space="preserve">Binnen het onderdeel ‘strategische beoordeling’ is er eigenlijk geen ruimte meer deze score in te passen. Het is immers wenselijk dat de 50-50 verhouding tussen operationele en strategische beoordeling gerespecteerd blijft en de selectiecriteria van de strategische beoordeling hun gewicht blijven behouden. </w:t>
      </w:r>
    </w:p>
    <w:p w14:paraId="79B7CED7" w14:textId="77777777" w:rsidR="00F13E4C" w:rsidRPr="00F13E4C" w:rsidRDefault="00F13E4C" w:rsidP="00F13E4C">
      <w:pPr>
        <w:numPr>
          <w:ilvl w:val="0"/>
          <w:numId w:val="22"/>
        </w:numPr>
        <w:rPr>
          <w:rFonts w:ascii="FlandersArtSans-Regular" w:hAnsi="FlandersArtSans-Regular"/>
          <w:lang w:val="nl-BE"/>
        </w:rPr>
      </w:pPr>
      <w:r w:rsidRPr="00F13E4C">
        <w:rPr>
          <w:rFonts w:ascii="FlandersArtSans-Regular" w:hAnsi="FlandersArtSans-Regular"/>
          <w:lang w:val="nl-BE"/>
        </w:rPr>
        <w:t xml:space="preserve">Binnen het onderdeel ‘operationele beoordeling’ is er bij het selectiecriterium ‘kostenstructuur- en detaillering’ nog ruimte om de score van 10 bij te stellen naar 5. Zodoende zou er ruimte zijn om de score voor ‘transversale thema’s’ onder te brengen bij de operationele beoordeling. </w:t>
      </w:r>
    </w:p>
    <w:p w14:paraId="1B86F79B"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Hieronder een overzicht van de score-onderdelen. Daarbij werd telkens het gewicht vermeld. Bij de criteria in het </w:t>
      </w:r>
      <w:r w:rsidRPr="00F13E4C">
        <w:rPr>
          <w:rFonts w:ascii="FlandersArtSans-Regular" w:hAnsi="FlandersArtSans-Regular"/>
          <w:b/>
          <w:bCs/>
          <w:lang w:val="nl-BE"/>
        </w:rPr>
        <w:t>vet</w:t>
      </w:r>
      <w:r w:rsidRPr="00F13E4C">
        <w:rPr>
          <w:rFonts w:ascii="FlandersArtSans-Regular" w:hAnsi="FlandersArtSans-Regular"/>
          <w:lang w:val="nl-BE"/>
        </w:rPr>
        <w:t xml:space="preserve"> werd het gewicht aangepast. </w:t>
      </w:r>
    </w:p>
    <w:tbl>
      <w:tblPr>
        <w:tblStyle w:val="Tabelraster"/>
        <w:tblW w:w="0" w:type="auto"/>
        <w:tblLook w:val="04A0" w:firstRow="1" w:lastRow="0" w:firstColumn="1" w:lastColumn="0" w:noHBand="0" w:noVBand="1"/>
      </w:tblPr>
      <w:tblGrid>
        <w:gridCol w:w="4323"/>
        <w:gridCol w:w="420"/>
        <w:gridCol w:w="3771"/>
        <w:gridCol w:w="546"/>
      </w:tblGrid>
      <w:tr w:rsidR="00F13E4C" w:rsidRPr="00F13E4C" w14:paraId="7AC84DB4" w14:textId="77777777" w:rsidTr="00EE17E2">
        <w:tc>
          <w:tcPr>
            <w:tcW w:w="4697" w:type="dxa"/>
            <w:gridSpan w:val="2"/>
          </w:tcPr>
          <w:p w14:paraId="23D5C58F" w14:textId="77777777" w:rsidR="00F13E4C" w:rsidRPr="00F13E4C" w:rsidRDefault="00F13E4C" w:rsidP="00F13E4C">
            <w:pPr>
              <w:rPr>
                <w:rFonts w:ascii="FlandersArtSans-Regular" w:hAnsi="FlandersArtSans-Regular"/>
                <w:b/>
                <w:bCs/>
                <w:lang w:val="nl-BE"/>
              </w:rPr>
            </w:pPr>
            <w:r w:rsidRPr="00F13E4C">
              <w:rPr>
                <w:rFonts w:ascii="FlandersArtSans-Regular" w:hAnsi="FlandersArtSans-Regular"/>
                <w:b/>
                <w:bCs/>
                <w:lang w:val="nl-BE"/>
              </w:rPr>
              <w:t>Strategische beoordeling</w:t>
            </w:r>
          </w:p>
        </w:tc>
        <w:tc>
          <w:tcPr>
            <w:tcW w:w="4365" w:type="dxa"/>
            <w:gridSpan w:val="2"/>
          </w:tcPr>
          <w:p w14:paraId="5B08C707" w14:textId="77777777" w:rsidR="00F13E4C" w:rsidRPr="00F13E4C" w:rsidRDefault="00F13E4C" w:rsidP="00F13E4C">
            <w:pPr>
              <w:rPr>
                <w:rFonts w:ascii="FlandersArtSans-Regular" w:hAnsi="FlandersArtSans-Regular"/>
                <w:b/>
                <w:bCs/>
                <w:lang w:val="nl-BE"/>
              </w:rPr>
            </w:pPr>
            <w:r w:rsidRPr="00F13E4C">
              <w:rPr>
                <w:rFonts w:ascii="FlandersArtSans-Regular" w:hAnsi="FlandersArtSans-Regular"/>
                <w:b/>
                <w:bCs/>
                <w:lang w:val="nl-BE"/>
              </w:rPr>
              <w:t>Operationele beoordeling</w:t>
            </w:r>
          </w:p>
        </w:tc>
      </w:tr>
      <w:tr w:rsidR="00F13E4C" w:rsidRPr="00F13E4C" w14:paraId="54D6D941" w14:textId="77777777" w:rsidTr="00EE17E2">
        <w:tc>
          <w:tcPr>
            <w:tcW w:w="4390" w:type="dxa"/>
          </w:tcPr>
          <w:p w14:paraId="7159DD63"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Probleemanalyse, relevantie, vraaggestuurd</w:t>
            </w:r>
          </w:p>
        </w:tc>
        <w:tc>
          <w:tcPr>
            <w:tcW w:w="307" w:type="dxa"/>
          </w:tcPr>
          <w:p w14:paraId="1F8F077E"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10</w:t>
            </w:r>
          </w:p>
        </w:tc>
        <w:tc>
          <w:tcPr>
            <w:tcW w:w="3816" w:type="dxa"/>
          </w:tcPr>
          <w:p w14:paraId="4D1F2F3C"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Werkpakketten</w:t>
            </w:r>
          </w:p>
        </w:tc>
        <w:tc>
          <w:tcPr>
            <w:tcW w:w="549" w:type="dxa"/>
          </w:tcPr>
          <w:p w14:paraId="4063EF0F"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r>
      <w:tr w:rsidR="00F13E4C" w:rsidRPr="00F13E4C" w14:paraId="4CB66B04" w14:textId="77777777" w:rsidTr="00EE17E2">
        <w:tc>
          <w:tcPr>
            <w:tcW w:w="4390" w:type="dxa"/>
          </w:tcPr>
          <w:p w14:paraId="51598567"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Doelgroepen</w:t>
            </w:r>
          </w:p>
        </w:tc>
        <w:tc>
          <w:tcPr>
            <w:tcW w:w="307" w:type="dxa"/>
          </w:tcPr>
          <w:p w14:paraId="725FA4BF"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c>
          <w:tcPr>
            <w:tcW w:w="3816" w:type="dxa"/>
          </w:tcPr>
          <w:p w14:paraId="5A40158B"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Activiteiten</w:t>
            </w:r>
          </w:p>
        </w:tc>
        <w:tc>
          <w:tcPr>
            <w:tcW w:w="549" w:type="dxa"/>
          </w:tcPr>
          <w:p w14:paraId="67874D89"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r>
      <w:tr w:rsidR="00F13E4C" w:rsidRPr="00F13E4C" w14:paraId="6E3BA3EF" w14:textId="77777777" w:rsidTr="00EE17E2">
        <w:tc>
          <w:tcPr>
            <w:tcW w:w="4390" w:type="dxa"/>
          </w:tcPr>
          <w:p w14:paraId="0D346806"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Doelstellingen</w:t>
            </w:r>
          </w:p>
        </w:tc>
        <w:tc>
          <w:tcPr>
            <w:tcW w:w="307" w:type="dxa"/>
          </w:tcPr>
          <w:p w14:paraId="2E87736A"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10</w:t>
            </w:r>
          </w:p>
        </w:tc>
        <w:tc>
          <w:tcPr>
            <w:tcW w:w="3816" w:type="dxa"/>
          </w:tcPr>
          <w:p w14:paraId="1D637D0E"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Mijlpalen</w:t>
            </w:r>
          </w:p>
        </w:tc>
        <w:tc>
          <w:tcPr>
            <w:tcW w:w="549" w:type="dxa"/>
          </w:tcPr>
          <w:p w14:paraId="0CC149DF"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r>
      <w:tr w:rsidR="00F13E4C" w:rsidRPr="00F13E4C" w14:paraId="46B85940" w14:textId="77777777" w:rsidTr="00EE17E2">
        <w:tc>
          <w:tcPr>
            <w:tcW w:w="4390" w:type="dxa"/>
          </w:tcPr>
          <w:p w14:paraId="010D034F"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Deskundigheid</w:t>
            </w:r>
          </w:p>
        </w:tc>
        <w:tc>
          <w:tcPr>
            <w:tcW w:w="307" w:type="dxa"/>
          </w:tcPr>
          <w:p w14:paraId="6B44AE5C"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10</w:t>
            </w:r>
          </w:p>
        </w:tc>
        <w:tc>
          <w:tcPr>
            <w:tcW w:w="3816" w:type="dxa"/>
          </w:tcPr>
          <w:p w14:paraId="44E1F642"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Planning</w:t>
            </w:r>
          </w:p>
        </w:tc>
        <w:tc>
          <w:tcPr>
            <w:tcW w:w="549" w:type="dxa"/>
          </w:tcPr>
          <w:p w14:paraId="2BB12A81"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r>
      <w:tr w:rsidR="00F13E4C" w:rsidRPr="00F13E4C" w14:paraId="1230ADEF" w14:textId="77777777" w:rsidTr="00EE17E2">
        <w:tc>
          <w:tcPr>
            <w:tcW w:w="4390" w:type="dxa"/>
          </w:tcPr>
          <w:p w14:paraId="2944C38B"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Duurzaamheid/ continuïteit /blijvende impact</w:t>
            </w:r>
          </w:p>
        </w:tc>
        <w:tc>
          <w:tcPr>
            <w:tcW w:w="307" w:type="dxa"/>
          </w:tcPr>
          <w:p w14:paraId="4E0E766D"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10</w:t>
            </w:r>
          </w:p>
        </w:tc>
        <w:tc>
          <w:tcPr>
            <w:tcW w:w="3816" w:type="dxa"/>
          </w:tcPr>
          <w:p w14:paraId="1BE1FFA7"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Organisatiestructuur</w:t>
            </w:r>
          </w:p>
        </w:tc>
        <w:tc>
          <w:tcPr>
            <w:tcW w:w="549" w:type="dxa"/>
          </w:tcPr>
          <w:p w14:paraId="48196B28"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r>
      <w:tr w:rsidR="00F13E4C" w:rsidRPr="00F13E4C" w14:paraId="08A5D782" w14:textId="77777777" w:rsidTr="00EE17E2">
        <w:tc>
          <w:tcPr>
            <w:tcW w:w="4390" w:type="dxa"/>
          </w:tcPr>
          <w:p w14:paraId="708D597A"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Bijdrage tot indicatoren </w:t>
            </w:r>
          </w:p>
        </w:tc>
        <w:tc>
          <w:tcPr>
            <w:tcW w:w="307" w:type="dxa"/>
          </w:tcPr>
          <w:p w14:paraId="79AE8B3D"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c>
          <w:tcPr>
            <w:tcW w:w="3816" w:type="dxa"/>
          </w:tcPr>
          <w:p w14:paraId="38208EFC"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Personeelsinzet / profielen</w:t>
            </w:r>
          </w:p>
        </w:tc>
        <w:tc>
          <w:tcPr>
            <w:tcW w:w="549" w:type="dxa"/>
          </w:tcPr>
          <w:p w14:paraId="541A1BB5"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r>
      <w:tr w:rsidR="00F13E4C" w:rsidRPr="00F13E4C" w14:paraId="2969A539" w14:textId="77777777" w:rsidTr="00EE17E2">
        <w:tc>
          <w:tcPr>
            <w:tcW w:w="4697" w:type="dxa"/>
            <w:gridSpan w:val="2"/>
            <w:vMerge w:val="restart"/>
          </w:tcPr>
          <w:p w14:paraId="5D494727" w14:textId="77777777" w:rsidR="00F13E4C" w:rsidRPr="00F13E4C" w:rsidRDefault="00F13E4C" w:rsidP="00F13E4C">
            <w:pPr>
              <w:rPr>
                <w:rFonts w:ascii="FlandersArtSans-Regular" w:hAnsi="FlandersArtSans-Regular"/>
                <w:lang w:val="nl-BE"/>
              </w:rPr>
            </w:pPr>
          </w:p>
        </w:tc>
        <w:tc>
          <w:tcPr>
            <w:tcW w:w="3816" w:type="dxa"/>
          </w:tcPr>
          <w:p w14:paraId="5F3B9475" w14:textId="77777777" w:rsidR="00F13E4C" w:rsidRPr="00F13E4C" w:rsidRDefault="00F13E4C" w:rsidP="00F13E4C">
            <w:pPr>
              <w:rPr>
                <w:rFonts w:ascii="FlandersArtSans-Regular" w:hAnsi="FlandersArtSans-Regular"/>
                <w:b/>
                <w:bCs/>
                <w:lang w:val="nl-BE"/>
              </w:rPr>
            </w:pPr>
            <w:r w:rsidRPr="00F13E4C">
              <w:rPr>
                <w:rFonts w:ascii="FlandersArtSans-Regular" w:hAnsi="FlandersArtSans-Regular"/>
                <w:b/>
                <w:bCs/>
                <w:lang w:val="nl-BE"/>
              </w:rPr>
              <w:t>Kostendetaillering</w:t>
            </w:r>
          </w:p>
        </w:tc>
        <w:tc>
          <w:tcPr>
            <w:tcW w:w="549" w:type="dxa"/>
          </w:tcPr>
          <w:p w14:paraId="0BBB3EEC" w14:textId="77777777" w:rsidR="00F13E4C" w:rsidRPr="00F13E4C" w:rsidRDefault="00F13E4C" w:rsidP="00F13E4C">
            <w:pPr>
              <w:rPr>
                <w:rFonts w:ascii="FlandersArtSans-Regular" w:hAnsi="FlandersArtSans-Regular"/>
                <w:b/>
                <w:bCs/>
                <w:lang w:val="nl-BE"/>
              </w:rPr>
            </w:pPr>
            <w:r w:rsidRPr="00F13E4C">
              <w:rPr>
                <w:rFonts w:ascii="FlandersArtSans-Regular" w:hAnsi="FlandersArtSans-Regular"/>
                <w:b/>
                <w:bCs/>
                <w:lang w:val="nl-BE"/>
              </w:rPr>
              <w:t>5</w:t>
            </w:r>
          </w:p>
        </w:tc>
      </w:tr>
      <w:tr w:rsidR="00F13E4C" w:rsidRPr="00F13E4C" w14:paraId="549CCDC9" w14:textId="77777777" w:rsidTr="00EE17E2">
        <w:tc>
          <w:tcPr>
            <w:tcW w:w="4697" w:type="dxa"/>
            <w:gridSpan w:val="2"/>
            <w:vMerge/>
          </w:tcPr>
          <w:p w14:paraId="54F44C1B" w14:textId="77777777" w:rsidR="00F13E4C" w:rsidRPr="00F13E4C" w:rsidRDefault="00F13E4C" w:rsidP="00F13E4C">
            <w:pPr>
              <w:rPr>
                <w:rFonts w:ascii="FlandersArtSans-Regular" w:hAnsi="FlandersArtSans-Regular"/>
                <w:lang w:val="nl-BE"/>
              </w:rPr>
            </w:pPr>
          </w:p>
        </w:tc>
        <w:tc>
          <w:tcPr>
            <w:tcW w:w="3816" w:type="dxa"/>
          </w:tcPr>
          <w:p w14:paraId="3B187DD4"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Projectfinanciering</w:t>
            </w:r>
          </w:p>
        </w:tc>
        <w:tc>
          <w:tcPr>
            <w:tcW w:w="549" w:type="dxa"/>
          </w:tcPr>
          <w:p w14:paraId="359FF593"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r>
      <w:tr w:rsidR="00F13E4C" w:rsidRPr="00F13E4C" w14:paraId="78AA4994" w14:textId="77777777" w:rsidTr="00EE17E2">
        <w:tc>
          <w:tcPr>
            <w:tcW w:w="4697" w:type="dxa"/>
            <w:gridSpan w:val="2"/>
            <w:vMerge/>
          </w:tcPr>
          <w:p w14:paraId="1E8F7981" w14:textId="77777777" w:rsidR="00F13E4C" w:rsidRPr="00F13E4C" w:rsidRDefault="00F13E4C" w:rsidP="00F13E4C">
            <w:pPr>
              <w:rPr>
                <w:rFonts w:ascii="FlandersArtSans-Regular" w:hAnsi="FlandersArtSans-Regular"/>
                <w:lang w:val="nl-BE"/>
              </w:rPr>
            </w:pPr>
          </w:p>
        </w:tc>
        <w:tc>
          <w:tcPr>
            <w:tcW w:w="3816" w:type="dxa"/>
          </w:tcPr>
          <w:p w14:paraId="01350968"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Risicobeheer</w:t>
            </w:r>
          </w:p>
        </w:tc>
        <w:tc>
          <w:tcPr>
            <w:tcW w:w="549" w:type="dxa"/>
          </w:tcPr>
          <w:p w14:paraId="6AB68F74"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r>
      <w:tr w:rsidR="00F13E4C" w:rsidRPr="00F13E4C" w14:paraId="073F116B" w14:textId="77777777" w:rsidTr="00EE17E2">
        <w:tc>
          <w:tcPr>
            <w:tcW w:w="4697" w:type="dxa"/>
            <w:gridSpan w:val="2"/>
            <w:vMerge/>
          </w:tcPr>
          <w:p w14:paraId="37D5A269" w14:textId="77777777" w:rsidR="00F13E4C" w:rsidRPr="00F13E4C" w:rsidRDefault="00F13E4C" w:rsidP="00F13E4C">
            <w:pPr>
              <w:rPr>
                <w:rFonts w:ascii="FlandersArtSans-Regular" w:hAnsi="FlandersArtSans-Regular"/>
                <w:lang w:val="nl-BE"/>
              </w:rPr>
            </w:pPr>
          </w:p>
        </w:tc>
        <w:tc>
          <w:tcPr>
            <w:tcW w:w="3816" w:type="dxa"/>
          </w:tcPr>
          <w:p w14:paraId="19C46280" w14:textId="77777777" w:rsidR="00F13E4C" w:rsidRPr="00F13E4C" w:rsidRDefault="00F13E4C" w:rsidP="00F13E4C">
            <w:pPr>
              <w:rPr>
                <w:rFonts w:ascii="FlandersArtSans-Regular" w:hAnsi="FlandersArtSans-Regular"/>
                <w:b/>
                <w:bCs/>
                <w:lang w:val="nl-BE"/>
              </w:rPr>
            </w:pPr>
            <w:r w:rsidRPr="00F13E4C">
              <w:rPr>
                <w:rFonts w:ascii="FlandersArtSans-Regular" w:hAnsi="FlandersArtSans-Regular"/>
                <w:b/>
                <w:bCs/>
                <w:lang w:val="nl-BE"/>
              </w:rPr>
              <w:t>Transversale thema’s</w:t>
            </w:r>
          </w:p>
        </w:tc>
        <w:tc>
          <w:tcPr>
            <w:tcW w:w="549" w:type="dxa"/>
          </w:tcPr>
          <w:p w14:paraId="1E037F80" w14:textId="77777777" w:rsidR="00F13E4C" w:rsidRPr="00F13E4C" w:rsidRDefault="00F13E4C" w:rsidP="00F13E4C">
            <w:pPr>
              <w:rPr>
                <w:rFonts w:ascii="FlandersArtSans-Regular" w:hAnsi="FlandersArtSans-Regular"/>
                <w:b/>
                <w:bCs/>
                <w:lang w:val="nl-BE"/>
              </w:rPr>
            </w:pPr>
            <w:r w:rsidRPr="00F13E4C">
              <w:rPr>
                <w:rFonts w:ascii="FlandersArtSans-Regular" w:hAnsi="FlandersArtSans-Regular"/>
                <w:b/>
                <w:bCs/>
                <w:lang w:val="nl-BE"/>
              </w:rPr>
              <w:t>5</w:t>
            </w:r>
          </w:p>
        </w:tc>
      </w:tr>
      <w:tr w:rsidR="00F13E4C" w:rsidRPr="00F13E4C" w14:paraId="28968AEC" w14:textId="77777777" w:rsidTr="00EE17E2">
        <w:tc>
          <w:tcPr>
            <w:tcW w:w="4390" w:type="dxa"/>
          </w:tcPr>
          <w:p w14:paraId="198BE707"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Totaal: </w:t>
            </w:r>
          </w:p>
        </w:tc>
        <w:tc>
          <w:tcPr>
            <w:tcW w:w="307" w:type="dxa"/>
          </w:tcPr>
          <w:p w14:paraId="272AB104"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50</w:t>
            </w:r>
          </w:p>
        </w:tc>
        <w:tc>
          <w:tcPr>
            <w:tcW w:w="3816" w:type="dxa"/>
          </w:tcPr>
          <w:p w14:paraId="2BD5A625"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Totaal: </w:t>
            </w:r>
          </w:p>
        </w:tc>
        <w:tc>
          <w:tcPr>
            <w:tcW w:w="549" w:type="dxa"/>
          </w:tcPr>
          <w:p w14:paraId="3E539C0E"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50</w:t>
            </w:r>
          </w:p>
        </w:tc>
      </w:tr>
    </w:tbl>
    <w:p w14:paraId="325C3E4D" w14:textId="77777777" w:rsidR="00F13E4C" w:rsidRPr="00F13E4C" w:rsidRDefault="00F13E4C" w:rsidP="00F13E4C">
      <w:pPr>
        <w:rPr>
          <w:rFonts w:ascii="FlandersArtSans-Regular" w:hAnsi="FlandersArtSans-Regular"/>
          <w:lang w:val="nl-BE"/>
        </w:rPr>
      </w:pPr>
    </w:p>
    <w:p w14:paraId="17CEDD27" w14:textId="77777777" w:rsidR="00F13E4C" w:rsidRPr="00F13E4C" w:rsidRDefault="00F13E4C" w:rsidP="00F13E4C">
      <w:pPr>
        <w:rPr>
          <w:rFonts w:ascii="FlandersArtSans-Regular" w:hAnsi="FlandersArtSans-Regular"/>
          <w:lang w:val="nl-BE"/>
        </w:rPr>
      </w:pPr>
    </w:p>
    <w:p w14:paraId="7606D816" w14:textId="77777777" w:rsidR="00F13E4C" w:rsidRPr="00F13E4C" w:rsidRDefault="00F13E4C" w:rsidP="00F13E4C">
      <w:pPr>
        <w:numPr>
          <w:ilvl w:val="0"/>
          <w:numId w:val="20"/>
        </w:numPr>
        <w:rPr>
          <w:rFonts w:ascii="FlandersArtSans-Regular" w:hAnsi="FlandersArtSans-Regular"/>
          <w:b/>
          <w:bCs/>
          <w:lang w:val="nl-BE"/>
        </w:rPr>
      </w:pPr>
      <w:r w:rsidRPr="00F13E4C">
        <w:rPr>
          <w:rFonts w:ascii="FlandersArtSans-Regular" w:hAnsi="FlandersArtSans-Regular"/>
          <w:b/>
          <w:bCs/>
          <w:lang w:val="nl-BE"/>
        </w:rPr>
        <w:t>Formulering selectieformulier</w:t>
      </w:r>
    </w:p>
    <w:p w14:paraId="7F9CC9A9"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Hieronder de voorgestelde formulering voor het selectieformulier. De beoordeling van de transversale thema’s komt aan bod in 2.6. Transversale thema’s (operationele beoordeling). </w:t>
      </w:r>
    </w:p>
    <w:p w14:paraId="3CF15A65" w14:textId="77777777" w:rsidR="00F13E4C" w:rsidRPr="00F13E4C" w:rsidRDefault="00F13E4C" w:rsidP="00F13E4C">
      <w:pPr>
        <w:rPr>
          <w:rFonts w:ascii="FlandersArtSans-Regular" w:hAnsi="FlandersArtSans-Regular"/>
          <w:lang w:val="nl-BE"/>
        </w:rPr>
      </w:pPr>
    </w:p>
    <w:p w14:paraId="1225B43A" w14:textId="77777777" w:rsidR="00F13E4C" w:rsidRPr="00F13E4C" w:rsidRDefault="00F13E4C" w:rsidP="00F13E4C">
      <w:pPr>
        <w:numPr>
          <w:ilvl w:val="0"/>
          <w:numId w:val="23"/>
        </w:numPr>
        <w:rPr>
          <w:rFonts w:ascii="FlandersArtSans-Regular" w:hAnsi="FlandersArtSans-Regular"/>
          <w:lang w:val="nl-BE"/>
        </w:rPr>
      </w:pPr>
      <w:r w:rsidRPr="00F13E4C">
        <w:rPr>
          <w:rFonts w:ascii="FlandersArtSans-Regular" w:hAnsi="FlandersArtSans-Regular"/>
          <w:lang w:val="nl-BE"/>
        </w:rPr>
        <w:t>2.6. Transversale thema’s (duurzaamheid, milieu / klimaatadaptatie, gelijke kansen)</w:t>
      </w:r>
    </w:p>
    <w:tbl>
      <w:tblPr>
        <w:tblStyle w:val="Tabelraster"/>
        <w:tblW w:w="0" w:type="auto"/>
        <w:tblLook w:val="04A0" w:firstRow="1" w:lastRow="0" w:firstColumn="1" w:lastColumn="0" w:noHBand="0" w:noVBand="1"/>
      </w:tblPr>
      <w:tblGrid>
        <w:gridCol w:w="844"/>
        <w:gridCol w:w="4639"/>
        <w:gridCol w:w="425"/>
        <w:gridCol w:w="471"/>
        <w:gridCol w:w="567"/>
        <w:gridCol w:w="1415"/>
        <w:gridCol w:w="699"/>
      </w:tblGrid>
      <w:tr w:rsidR="00F13E4C" w:rsidRPr="00F13E4C" w14:paraId="03DF6077" w14:textId="77777777" w:rsidTr="00EE17E2">
        <w:tc>
          <w:tcPr>
            <w:tcW w:w="846" w:type="dxa"/>
          </w:tcPr>
          <w:p w14:paraId="4B7FDF40"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2.6.1.</w:t>
            </w:r>
          </w:p>
        </w:tc>
        <w:tc>
          <w:tcPr>
            <w:tcW w:w="4678" w:type="dxa"/>
          </w:tcPr>
          <w:p w14:paraId="03A46D59"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Omschrijving transversale thema’s</w:t>
            </w:r>
          </w:p>
        </w:tc>
        <w:tc>
          <w:tcPr>
            <w:tcW w:w="425" w:type="dxa"/>
          </w:tcPr>
          <w:p w14:paraId="5603B3AA"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Ja</w:t>
            </w:r>
          </w:p>
        </w:tc>
        <w:tc>
          <w:tcPr>
            <w:tcW w:w="425" w:type="dxa"/>
          </w:tcPr>
          <w:p w14:paraId="671073C5"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w:t>
            </w:r>
          </w:p>
        </w:tc>
        <w:tc>
          <w:tcPr>
            <w:tcW w:w="567" w:type="dxa"/>
          </w:tcPr>
          <w:p w14:paraId="7D3645CC"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Nee</w:t>
            </w:r>
          </w:p>
        </w:tc>
        <w:tc>
          <w:tcPr>
            <w:tcW w:w="1418" w:type="dxa"/>
          </w:tcPr>
          <w:p w14:paraId="26209F44"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toelichting</w:t>
            </w:r>
          </w:p>
        </w:tc>
        <w:tc>
          <w:tcPr>
            <w:tcW w:w="703" w:type="dxa"/>
          </w:tcPr>
          <w:p w14:paraId="4C8ACCCB"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IF</w:t>
            </w:r>
          </w:p>
        </w:tc>
      </w:tr>
      <w:tr w:rsidR="00F13E4C" w:rsidRPr="00F13E4C" w14:paraId="01923CCC" w14:textId="77777777" w:rsidTr="00EE17E2">
        <w:tc>
          <w:tcPr>
            <w:tcW w:w="846" w:type="dxa"/>
          </w:tcPr>
          <w:p w14:paraId="2B846B1B"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2.6.1.1.</w:t>
            </w:r>
          </w:p>
        </w:tc>
        <w:tc>
          <w:tcPr>
            <w:tcW w:w="4678" w:type="dxa"/>
          </w:tcPr>
          <w:p w14:paraId="120DB54A"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Werden de acties rond duurzame ontwikkeling duidelijk omschreven? </w:t>
            </w:r>
          </w:p>
        </w:tc>
        <w:tc>
          <w:tcPr>
            <w:tcW w:w="425" w:type="dxa"/>
          </w:tcPr>
          <w:p w14:paraId="32F0A07D"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425" w:type="dxa"/>
          </w:tcPr>
          <w:p w14:paraId="5449B59F"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567" w:type="dxa"/>
          </w:tcPr>
          <w:p w14:paraId="2AC98947"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1418" w:type="dxa"/>
          </w:tcPr>
          <w:p w14:paraId="10A42D95" w14:textId="77777777" w:rsidR="00F13E4C" w:rsidRPr="00F13E4C" w:rsidRDefault="00F13E4C" w:rsidP="00F13E4C">
            <w:pPr>
              <w:rPr>
                <w:rFonts w:ascii="FlandersArtSans-Regular" w:hAnsi="FlandersArtSans-Regular"/>
                <w:lang w:val="nl-BE"/>
              </w:rPr>
            </w:pPr>
          </w:p>
        </w:tc>
        <w:tc>
          <w:tcPr>
            <w:tcW w:w="703" w:type="dxa"/>
          </w:tcPr>
          <w:p w14:paraId="057556DE" w14:textId="77777777" w:rsidR="00F13E4C" w:rsidRPr="00F13E4C" w:rsidRDefault="00F13E4C" w:rsidP="00F13E4C">
            <w:pPr>
              <w:rPr>
                <w:rFonts w:ascii="FlandersArtSans-Regular" w:hAnsi="FlandersArtSans-Regular"/>
                <w:lang w:val="nl-BE"/>
              </w:rPr>
            </w:pPr>
          </w:p>
        </w:tc>
      </w:tr>
      <w:tr w:rsidR="00F13E4C" w:rsidRPr="00F13E4C" w14:paraId="3733AF3E" w14:textId="77777777" w:rsidTr="00EE17E2">
        <w:tc>
          <w:tcPr>
            <w:tcW w:w="846" w:type="dxa"/>
          </w:tcPr>
          <w:p w14:paraId="62330FC9"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2.6.1.2.</w:t>
            </w:r>
          </w:p>
        </w:tc>
        <w:tc>
          <w:tcPr>
            <w:tcW w:w="4678" w:type="dxa"/>
          </w:tcPr>
          <w:p w14:paraId="5BF17C45"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Werden de acties rond milieu en klimaat-adaptatie duidelijk omschreven? </w:t>
            </w:r>
          </w:p>
        </w:tc>
        <w:tc>
          <w:tcPr>
            <w:tcW w:w="425" w:type="dxa"/>
          </w:tcPr>
          <w:p w14:paraId="5A3937BC"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425" w:type="dxa"/>
          </w:tcPr>
          <w:p w14:paraId="601C0AE0"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567" w:type="dxa"/>
          </w:tcPr>
          <w:p w14:paraId="2EDA1C93"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1418" w:type="dxa"/>
          </w:tcPr>
          <w:p w14:paraId="00870E25" w14:textId="77777777" w:rsidR="00F13E4C" w:rsidRPr="00F13E4C" w:rsidRDefault="00F13E4C" w:rsidP="00F13E4C">
            <w:pPr>
              <w:rPr>
                <w:rFonts w:ascii="FlandersArtSans-Regular" w:hAnsi="FlandersArtSans-Regular"/>
                <w:lang w:val="nl-BE"/>
              </w:rPr>
            </w:pPr>
          </w:p>
        </w:tc>
        <w:tc>
          <w:tcPr>
            <w:tcW w:w="703" w:type="dxa"/>
          </w:tcPr>
          <w:p w14:paraId="583653A4" w14:textId="77777777" w:rsidR="00F13E4C" w:rsidRPr="00F13E4C" w:rsidRDefault="00F13E4C" w:rsidP="00F13E4C">
            <w:pPr>
              <w:rPr>
                <w:rFonts w:ascii="FlandersArtSans-Regular" w:hAnsi="FlandersArtSans-Regular"/>
                <w:lang w:val="nl-BE"/>
              </w:rPr>
            </w:pPr>
          </w:p>
        </w:tc>
      </w:tr>
      <w:tr w:rsidR="00F13E4C" w:rsidRPr="00F13E4C" w14:paraId="15768278" w14:textId="77777777" w:rsidTr="00EE17E2">
        <w:tc>
          <w:tcPr>
            <w:tcW w:w="846" w:type="dxa"/>
          </w:tcPr>
          <w:p w14:paraId="54D6BBB5"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2.6.1.3.</w:t>
            </w:r>
          </w:p>
        </w:tc>
        <w:tc>
          <w:tcPr>
            <w:tcW w:w="4678" w:type="dxa"/>
          </w:tcPr>
          <w:p w14:paraId="4CEBF4F5"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Werden de acties rond gelijke kansen duidelijk omschreven? </w:t>
            </w:r>
          </w:p>
        </w:tc>
        <w:tc>
          <w:tcPr>
            <w:tcW w:w="425" w:type="dxa"/>
          </w:tcPr>
          <w:p w14:paraId="13212B8E"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425" w:type="dxa"/>
          </w:tcPr>
          <w:p w14:paraId="7A90A42C"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567" w:type="dxa"/>
          </w:tcPr>
          <w:p w14:paraId="19F73807"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1418" w:type="dxa"/>
          </w:tcPr>
          <w:p w14:paraId="3C2D2AC0" w14:textId="77777777" w:rsidR="00F13E4C" w:rsidRPr="00F13E4C" w:rsidRDefault="00F13E4C" w:rsidP="00F13E4C">
            <w:pPr>
              <w:rPr>
                <w:rFonts w:ascii="FlandersArtSans-Regular" w:hAnsi="FlandersArtSans-Regular"/>
                <w:lang w:val="nl-BE"/>
              </w:rPr>
            </w:pPr>
          </w:p>
        </w:tc>
        <w:tc>
          <w:tcPr>
            <w:tcW w:w="703" w:type="dxa"/>
          </w:tcPr>
          <w:p w14:paraId="2BCDE929" w14:textId="77777777" w:rsidR="00F13E4C" w:rsidRPr="00F13E4C" w:rsidRDefault="00F13E4C" w:rsidP="00F13E4C">
            <w:pPr>
              <w:rPr>
                <w:rFonts w:ascii="FlandersArtSans-Regular" w:hAnsi="FlandersArtSans-Regular"/>
                <w:lang w:val="nl-BE"/>
              </w:rPr>
            </w:pPr>
          </w:p>
        </w:tc>
      </w:tr>
    </w:tbl>
    <w:p w14:paraId="7E77EE63" w14:textId="77777777" w:rsidR="00F13E4C" w:rsidRPr="00F13E4C" w:rsidRDefault="00F13E4C" w:rsidP="00F13E4C">
      <w:pPr>
        <w:rPr>
          <w:rFonts w:ascii="FlandersArtSans-Regular" w:hAnsi="FlandersArtSans-Regular"/>
          <w:lang w:val="nl-BE"/>
        </w:rPr>
      </w:pPr>
    </w:p>
    <w:tbl>
      <w:tblPr>
        <w:tblStyle w:val="Tabelraster"/>
        <w:tblW w:w="0" w:type="auto"/>
        <w:tblLook w:val="04A0" w:firstRow="1" w:lastRow="0" w:firstColumn="1" w:lastColumn="0" w:noHBand="0" w:noVBand="1"/>
      </w:tblPr>
      <w:tblGrid>
        <w:gridCol w:w="1812"/>
        <w:gridCol w:w="1812"/>
        <w:gridCol w:w="1812"/>
        <w:gridCol w:w="1812"/>
        <w:gridCol w:w="1812"/>
      </w:tblGrid>
      <w:tr w:rsidR="00F13E4C" w:rsidRPr="00F13E4C" w14:paraId="0AA38D58" w14:textId="77777777" w:rsidTr="00EE17E2">
        <w:tc>
          <w:tcPr>
            <w:tcW w:w="1812" w:type="dxa"/>
          </w:tcPr>
          <w:p w14:paraId="5A014007"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1</w:t>
            </w:r>
          </w:p>
        </w:tc>
        <w:tc>
          <w:tcPr>
            <w:tcW w:w="1812" w:type="dxa"/>
          </w:tcPr>
          <w:p w14:paraId="7D023451"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2</w:t>
            </w:r>
          </w:p>
        </w:tc>
        <w:tc>
          <w:tcPr>
            <w:tcW w:w="1812" w:type="dxa"/>
          </w:tcPr>
          <w:p w14:paraId="589DF738"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3</w:t>
            </w:r>
          </w:p>
        </w:tc>
        <w:tc>
          <w:tcPr>
            <w:tcW w:w="1813" w:type="dxa"/>
          </w:tcPr>
          <w:p w14:paraId="3F21F97C"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4</w:t>
            </w:r>
          </w:p>
        </w:tc>
        <w:tc>
          <w:tcPr>
            <w:tcW w:w="1813" w:type="dxa"/>
          </w:tcPr>
          <w:p w14:paraId="156CD13B"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5</w:t>
            </w:r>
          </w:p>
        </w:tc>
      </w:tr>
      <w:tr w:rsidR="00F13E4C" w:rsidRPr="00F13E4C" w14:paraId="0072BA2E" w14:textId="77777777" w:rsidTr="00EE17E2">
        <w:tc>
          <w:tcPr>
            <w:tcW w:w="1812" w:type="dxa"/>
          </w:tcPr>
          <w:p w14:paraId="3F721254"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1812" w:type="dxa"/>
          </w:tcPr>
          <w:p w14:paraId="1636048C"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1812" w:type="dxa"/>
          </w:tcPr>
          <w:p w14:paraId="31593525"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1813" w:type="dxa"/>
          </w:tcPr>
          <w:p w14:paraId="46588E74"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c>
          <w:tcPr>
            <w:tcW w:w="1813" w:type="dxa"/>
          </w:tcPr>
          <w:p w14:paraId="4E5DD2F4" w14:textId="77777777" w:rsidR="00F13E4C" w:rsidRPr="00F13E4C" w:rsidRDefault="00F13E4C" w:rsidP="00F13E4C">
            <w:pPr>
              <w:rPr>
                <w:rFonts w:ascii="FlandersArtSans-Regular" w:hAnsi="FlandersArtSans-Regular"/>
                <w:lang w:val="nl-BE"/>
              </w:rPr>
            </w:pPr>
            <w:r w:rsidRPr="00F13E4C">
              <w:rPr>
                <w:rFonts w:ascii="Times New Roman" w:hAnsi="Times New Roman"/>
                <w:lang w:val="nl-BE"/>
              </w:rPr>
              <w:t>□</w:t>
            </w:r>
          </w:p>
        </w:tc>
      </w:tr>
      <w:tr w:rsidR="00F13E4C" w:rsidRPr="00F13E4C" w14:paraId="34569318" w14:textId="77777777" w:rsidTr="00EE17E2">
        <w:tc>
          <w:tcPr>
            <w:tcW w:w="1812" w:type="dxa"/>
          </w:tcPr>
          <w:p w14:paraId="4C5D1A87"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t xml:space="preserve">Transversale thema’s worden niet of nauwelijks concreet toegelicht. / Insteek beperkt zich tot generieke bijdrage die niet projectspecifiek is. </w:t>
            </w:r>
            <w:r w:rsidRPr="00F13E4C">
              <w:rPr>
                <w:rFonts w:ascii="FlandersArtSans-Regular" w:hAnsi="FlandersArtSans-Regular"/>
                <w:lang w:val="nl-BE"/>
              </w:rPr>
              <w:lastRenderedPageBreak/>
              <w:t xml:space="preserve">/ Project speelt inherent niet of nauwelijks in op transversale thema’s. </w:t>
            </w:r>
          </w:p>
        </w:tc>
        <w:tc>
          <w:tcPr>
            <w:tcW w:w="1812" w:type="dxa"/>
          </w:tcPr>
          <w:p w14:paraId="2ACF8024"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lastRenderedPageBreak/>
              <w:t xml:space="preserve">Transversale thema’s worden onvoldoende duidelijk omschreven. / Insteek is onvoldoende toegespitst op de concrete </w:t>
            </w:r>
            <w:r w:rsidRPr="00F13E4C">
              <w:rPr>
                <w:rFonts w:ascii="FlandersArtSans-Regular" w:hAnsi="FlandersArtSans-Regular"/>
                <w:lang w:val="nl-BE"/>
              </w:rPr>
              <w:lastRenderedPageBreak/>
              <w:t xml:space="preserve">projectinhoud. / Project speelt inherent onvoldoende in op transversale thema’s. </w:t>
            </w:r>
          </w:p>
        </w:tc>
        <w:tc>
          <w:tcPr>
            <w:tcW w:w="1812" w:type="dxa"/>
          </w:tcPr>
          <w:p w14:paraId="7573B4E0"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lastRenderedPageBreak/>
              <w:t xml:space="preserve">Transversale thema’s worden voldoende duidelijk omschreven. / Insteek is voldoende projectspecifiek. / Project speelt </w:t>
            </w:r>
            <w:r w:rsidRPr="00F13E4C">
              <w:rPr>
                <w:rFonts w:ascii="FlandersArtSans-Regular" w:hAnsi="FlandersArtSans-Regular"/>
                <w:lang w:val="nl-BE"/>
              </w:rPr>
              <w:lastRenderedPageBreak/>
              <w:t xml:space="preserve">inherent voldoende in op transversale thema’s. </w:t>
            </w:r>
          </w:p>
        </w:tc>
        <w:tc>
          <w:tcPr>
            <w:tcW w:w="1813" w:type="dxa"/>
          </w:tcPr>
          <w:p w14:paraId="72EEE05F"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lastRenderedPageBreak/>
              <w:t xml:space="preserve">Transversale thema’s worden duidelijk omschreven. / Insteek speelt duidelijk in op de concrete projectactivi-teiten. / Project </w:t>
            </w:r>
            <w:r w:rsidRPr="00F13E4C">
              <w:rPr>
                <w:rFonts w:ascii="FlandersArtSans-Regular" w:hAnsi="FlandersArtSans-Regular"/>
                <w:lang w:val="nl-BE"/>
              </w:rPr>
              <w:lastRenderedPageBreak/>
              <w:t xml:space="preserve">speelt inherent duidelijk in op de transversale thema’s. </w:t>
            </w:r>
          </w:p>
        </w:tc>
        <w:tc>
          <w:tcPr>
            <w:tcW w:w="1813" w:type="dxa"/>
          </w:tcPr>
          <w:p w14:paraId="51228509" w14:textId="77777777" w:rsidR="00F13E4C" w:rsidRPr="00F13E4C" w:rsidRDefault="00F13E4C" w:rsidP="00F13E4C">
            <w:pPr>
              <w:rPr>
                <w:rFonts w:ascii="FlandersArtSans-Regular" w:hAnsi="FlandersArtSans-Regular"/>
                <w:lang w:val="nl-BE"/>
              </w:rPr>
            </w:pPr>
            <w:r w:rsidRPr="00F13E4C">
              <w:rPr>
                <w:rFonts w:ascii="FlandersArtSans-Regular" w:hAnsi="FlandersArtSans-Regular"/>
                <w:lang w:val="nl-BE"/>
              </w:rPr>
              <w:lastRenderedPageBreak/>
              <w:t xml:space="preserve">Transversale thema’s worden zeer duidelijk omschreven. / Insteek speelt zeer duidelijk in op de concrete project-activiteiten. /Project speelt </w:t>
            </w:r>
            <w:r w:rsidRPr="00F13E4C">
              <w:rPr>
                <w:rFonts w:ascii="FlandersArtSans-Regular" w:hAnsi="FlandersArtSans-Regular"/>
                <w:lang w:val="nl-BE"/>
              </w:rPr>
              <w:lastRenderedPageBreak/>
              <w:t xml:space="preserve">inherent zeer duidelijk in op de transversale thema’s. </w:t>
            </w:r>
          </w:p>
        </w:tc>
      </w:tr>
    </w:tbl>
    <w:p w14:paraId="7855DDFA" w14:textId="77777777" w:rsidR="00F13E4C" w:rsidRPr="00F13E4C" w:rsidRDefault="00F13E4C" w:rsidP="00F13E4C">
      <w:pPr>
        <w:rPr>
          <w:rFonts w:ascii="FlandersArtSans-Regular" w:hAnsi="FlandersArtSans-Regular"/>
          <w:lang w:val="nl-BE"/>
        </w:rPr>
      </w:pPr>
    </w:p>
    <w:p w14:paraId="1131ACFE" w14:textId="77777777" w:rsidR="00F13E4C" w:rsidRPr="00F13E4C" w:rsidRDefault="00F13E4C" w:rsidP="00F13E4C">
      <w:pPr>
        <w:rPr>
          <w:rFonts w:ascii="FlandersArtSans-Regular" w:hAnsi="FlandersArtSans-Regular"/>
          <w:lang w:val="nl-BE"/>
        </w:rPr>
      </w:pPr>
    </w:p>
    <w:p w14:paraId="39C658C7" w14:textId="77777777" w:rsidR="00F13E4C" w:rsidRPr="00F13E4C" w:rsidRDefault="00F13E4C" w:rsidP="00F13E4C">
      <w:pPr>
        <w:rPr>
          <w:rFonts w:ascii="FlandersArtSans-Regular" w:hAnsi="FlandersArtSans-Regular"/>
          <w:lang w:val="nl-BE"/>
        </w:rPr>
      </w:pPr>
    </w:p>
    <w:p w14:paraId="09488F3B" w14:textId="77777777" w:rsidR="00F13E4C" w:rsidRPr="00F13E4C" w:rsidRDefault="00F13E4C" w:rsidP="00F13E4C">
      <w:pPr>
        <w:rPr>
          <w:rFonts w:ascii="FlandersArtSans-Regular" w:hAnsi="FlandersArtSans-Regular"/>
          <w:lang w:val="nl-BE"/>
        </w:rPr>
      </w:pPr>
    </w:p>
    <w:p w14:paraId="41F99763" w14:textId="77777777" w:rsidR="00B664C5" w:rsidRPr="00F13E4C" w:rsidRDefault="00B664C5" w:rsidP="00B664C5">
      <w:pPr>
        <w:rPr>
          <w:rFonts w:ascii="FlandersArtSans-Regular" w:hAnsi="FlandersArtSans-Regular"/>
          <w:lang w:val="nl-BE"/>
        </w:rPr>
      </w:pPr>
    </w:p>
    <w:sectPr w:rsidR="00B664C5" w:rsidRPr="00F13E4C" w:rsidSect="000A26DB">
      <w:headerReference w:type="even" r:id="rId8"/>
      <w:headerReference w:type="default" r:id="rId9"/>
      <w:footerReference w:type="even" r:id="rId10"/>
      <w:footerReference w:type="default" r:id="rId11"/>
      <w:headerReference w:type="first" r:id="rId12"/>
      <w:footerReference w:type="first" r:id="rId13"/>
      <w:pgSz w:w="11906" w:h="16838"/>
      <w:pgMar w:top="1616" w:right="1418" w:bottom="902" w:left="1418" w:header="709" w:footer="709" w:gutter="0"/>
      <w:pgBorders w:offsetFrom="page">
        <w:left w:val="single" w:sz="48" w:space="0" w:color="FFFF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20A9B" w14:textId="77777777" w:rsidR="00946B10" w:rsidRDefault="00946B10">
      <w:r>
        <w:separator/>
      </w:r>
    </w:p>
  </w:endnote>
  <w:endnote w:type="continuationSeparator" w:id="0">
    <w:p w14:paraId="7B3CD63D" w14:textId="77777777" w:rsidR="00946B10" w:rsidRDefault="00946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landersArtSans-Regular">
    <w:panose1 w:val="000005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4640" w14:textId="77777777" w:rsidR="00B502AB" w:rsidRDefault="00B502AB" w:rsidP="00044581">
    <w:pPr>
      <w:pStyle w:val="Voettekst"/>
    </w:pPr>
    <w:r>
      <w:tab/>
    </w:r>
    <w:r>
      <w:tab/>
    </w:r>
    <w:r>
      <w:tab/>
    </w: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784050"/>
      <w:docPartObj>
        <w:docPartGallery w:val="Page Numbers (Bottom of Page)"/>
        <w:docPartUnique/>
      </w:docPartObj>
    </w:sdtPr>
    <w:sdtEndPr/>
    <w:sdtContent>
      <w:p w14:paraId="1DAB1745" w14:textId="77777777" w:rsidR="00B502AB" w:rsidRDefault="00B502AB">
        <w:pPr>
          <w:pStyle w:val="Voettekst"/>
          <w:jc w:val="right"/>
        </w:pPr>
        <w:r>
          <w:fldChar w:fldCharType="begin"/>
        </w:r>
        <w:r>
          <w:instrText>PAGE   \* MERGEFORMAT</w:instrText>
        </w:r>
        <w:r>
          <w:fldChar w:fldCharType="separate"/>
        </w:r>
        <w:r w:rsidR="00A06256">
          <w:rPr>
            <w:noProof/>
          </w:rPr>
          <w:t>1</w:t>
        </w:r>
        <w:r>
          <w:fldChar w:fldCharType="end"/>
        </w:r>
      </w:p>
    </w:sdtContent>
  </w:sdt>
  <w:p w14:paraId="47A867B7" w14:textId="77777777" w:rsidR="00B502AB" w:rsidRDefault="00D03978" w:rsidP="00056F1A">
    <w:pPr>
      <w:pStyle w:val="Voettekst"/>
      <w:jc w:val="center"/>
    </w:pPr>
    <w:r>
      <w:rPr>
        <w:noProof/>
      </w:rPr>
      <w:drawing>
        <wp:inline distT="0" distB="0" distL="0" distR="0" wp14:anchorId="6101E532" wp14:editId="20C287E2">
          <wp:extent cx="3286125" cy="55245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297" r="10755"/>
                  <a:stretch/>
                </pic:blipFill>
                <pic:spPr bwMode="auto">
                  <a:xfrm>
                    <a:off x="0" y="0"/>
                    <a:ext cx="3309681" cy="55641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87E59" w14:textId="77777777" w:rsidR="003905CE" w:rsidRDefault="003905C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BEBE3" w14:textId="77777777" w:rsidR="00946B10" w:rsidRDefault="00946B10">
      <w:r>
        <w:separator/>
      </w:r>
    </w:p>
  </w:footnote>
  <w:footnote w:type="continuationSeparator" w:id="0">
    <w:p w14:paraId="14507614" w14:textId="77777777" w:rsidR="00946B10" w:rsidRDefault="00946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8E2DB" w14:textId="77777777" w:rsidR="003905CE" w:rsidRDefault="003905C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1A7B1" w14:textId="77777777" w:rsidR="00B502AB" w:rsidRDefault="00B502AB" w:rsidP="00371B3F">
    <w:pPr>
      <w:pStyle w:val="Koptekst"/>
      <w:tabs>
        <w:tab w:val="clear" w:pos="4536"/>
        <w:tab w:val="clear" w:pos="9072"/>
        <w:tab w:val="center" w:pos="716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7A24" w14:textId="77777777" w:rsidR="003905CE" w:rsidRDefault="003905C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3D7"/>
    <w:multiLevelType w:val="multilevel"/>
    <w:tmpl w:val="A82663C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0FCE09EC"/>
    <w:multiLevelType w:val="hybridMultilevel"/>
    <w:tmpl w:val="252C9400"/>
    <w:lvl w:ilvl="0" w:tplc="08130005">
      <w:start w:val="1"/>
      <w:numFmt w:val="bullet"/>
      <w:lvlText w:val=""/>
      <w:lvlJc w:val="left"/>
      <w:pPr>
        <w:ind w:left="1080" w:hanging="360"/>
      </w:pPr>
      <w:rPr>
        <w:rFonts w:ascii="Wingdings" w:hAnsi="Wingdings"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 w15:restartNumberingAfterBreak="0">
    <w:nsid w:val="0FFC6C8D"/>
    <w:multiLevelType w:val="singleLevel"/>
    <w:tmpl w:val="6FE64DC6"/>
    <w:lvl w:ilvl="0">
      <w:start w:val="3"/>
      <w:numFmt w:val="bullet"/>
      <w:lvlText w:val="-"/>
      <w:lvlJc w:val="left"/>
      <w:pPr>
        <w:tabs>
          <w:tab w:val="num" w:pos="1770"/>
        </w:tabs>
        <w:ind w:left="1770" w:hanging="360"/>
      </w:pPr>
      <w:rPr>
        <w:rFonts w:hint="default"/>
      </w:rPr>
    </w:lvl>
  </w:abstractNum>
  <w:abstractNum w:abstractNumId="3" w15:restartNumberingAfterBreak="0">
    <w:nsid w:val="1D087AD8"/>
    <w:multiLevelType w:val="multilevel"/>
    <w:tmpl w:val="18CE08C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FB104DC"/>
    <w:multiLevelType w:val="hybridMultilevel"/>
    <w:tmpl w:val="4AE0007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5771025"/>
    <w:multiLevelType w:val="hybridMultilevel"/>
    <w:tmpl w:val="050AA7C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29C407EE"/>
    <w:multiLevelType w:val="hybridMultilevel"/>
    <w:tmpl w:val="73C4BD82"/>
    <w:lvl w:ilvl="0" w:tplc="DAF0B84A">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7" w15:restartNumberingAfterBreak="0">
    <w:nsid w:val="2A3E41B0"/>
    <w:multiLevelType w:val="hybridMultilevel"/>
    <w:tmpl w:val="6B10B4D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33447993"/>
    <w:multiLevelType w:val="multilevel"/>
    <w:tmpl w:val="F06E62F2"/>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36471314"/>
    <w:multiLevelType w:val="hybridMultilevel"/>
    <w:tmpl w:val="6F104C2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A9355CE"/>
    <w:multiLevelType w:val="hybridMultilevel"/>
    <w:tmpl w:val="DB1E878E"/>
    <w:lvl w:ilvl="0" w:tplc="0813000F">
      <w:start w:val="1"/>
      <w:numFmt w:val="decimal"/>
      <w:lvlText w:val="%1."/>
      <w:lvlJc w:val="left"/>
      <w:pPr>
        <w:ind w:left="720" w:hanging="360"/>
      </w:pPr>
      <w:rPr>
        <w:rFonts w:hint="default"/>
      </w:rPr>
    </w:lvl>
    <w:lvl w:ilvl="1" w:tplc="08130001">
      <w:start w:val="1"/>
      <w:numFmt w:val="bullet"/>
      <w:lvlText w:val=""/>
      <w:lvlJc w:val="left"/>
      <w:pPr>
        <w:ind w:left="1440" w:hanging="360"/>
      </w:pPr>
      <w:rPr>
        <w:rFonts w:ascii="Symbol" w:hAnsi="Symbol" w:hint="default"/>
      </w:r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3D1331FD"/>
    <w:multiLevelType w:val="multilevel"/>
    <w:tmpl w:val="B13847F2"/>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4AA55FA1"/>
    <w:multiLevelType w:val="hybridMultilevel"/>
    <w:tmpl w:val="DE120ABA"/>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690DC0"/>
    <w:multiLevelType w:val="multilevel"/>
    <w:tmpl w:val="7E04061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EE6174B"/>
    <w:multiLevelType w:val="hybridMultilevel"/>
    <w:tmpl w:val="967EF11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52D5065B"/>
    <w:multiLevelType w:val="hybridMultilevel"/>
    <w:tmpl w:val="FF620C38"/>
    <w:lvl w:ilvl="0" w:tplc="DAF0B84A">
      <w:start w:val="1"/>
      <w:numFmt w:val="decimal"/>
      <w:lvlText w:val="%1."/>
      <w:lvlJc w:val="left"/>
      <w:pPr>
        <w:ind w:left="36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59BA7CAE"/>
    <w:multiLevelType w:val="multilevel"/>
    <w:tmpl w:val="42D2ED5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F2022AC"/>
    <w:multiLevelType w:val="multilevel"/>
    <w:tmpl w:val="BC78020C"/>
    <w:lvl w:ilvl="0">
      <w:start w:val="2"/>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64DF1491"/>
    <w:multiLevelType w:val="multilevel"/>
    <w:tmpl w:val="7462339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6E3A7250"/>
    <w:multiLevelType w:val="multilevel"/>
    <w:tmpl w:val="848A1C38"/>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FA56801"/>
    <w:multiLevelType w:val="multilevel"/>
    <w:tmpl w:val="08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1" w15:restartNumberingAfterBreak="0">
    <w:nsid w:val="73096375"/>
    <w:multiLevelType w:val="hybridMultilevel"/>
    <w:tmpl w:val="AC42FC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79F3280D"/>
    <w:multiLevelType w:val="multilevel"/>
    <w:tmpl w:val="5E58EC0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B567091"/>
    <w:multiLevelType w:val="multilevel"/>
    <w:tmpl w:val="A0A2F014"/>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20"/>
  </w:num>
  <w:num w:numId="2">
    <w:abstractNumId w:val="2"/>
  </w:num>
  <w:num w:numId="3">
    <w:abstractNumId w:val="12"/>
  </w:num>
  <w:num w:numId="4">
    <w:abstractNumId w:val="4"/>
  </w:num>
  <w:num w:numId="5">
    <w:abstractNumId w:val="1"/>
  </w:num>
  <w:num w:numId="6">
    <w:abstractNumId w:val="5"/>
  </w:num>
  <w:num w:numId="7">
    <w:abstractNumId w:val="7"/>
  </w:num>
  <w:num w:numId="8">
    <w:abstractNumId w:val="18"/>
  </w:num>
  <w:num w:numId="9">
    <w:abstractNumId w:val="0"/>
  </w:num>
  <w:num w:numId="10">
    <w:abstractNumId w:val="11"/>
  </w:num>
  <w:num w:numId="11">
    <w:abstractNumId w:val="23"/>
  </w:num>
  <w:num w:numId="12">
    <w:abstractNumId w:val="8"/>
  </w:num>
  <w:num w:numId="13">
    <w:abstractNumId w:val="17"/>
  </w:num>
  <w:num w:numId="14">
    <w:abstractNumId w:val="16"/>
  </w:num>
  <w:num w:numId="15">
    <w:abstractNumId w:val="13"/>
  </w:num>
  <w:num w:numId="16">
    <w:abstractNumId w:val="22"/>
  </w:num>
  <w:num w:numId="17">
    <w:abstractNumId w:val="19"/>
  </w:num>
  <w:num w:numId="18">
    <w:abstractNumId w:val="3"/>
  </w:num>
  <w:num w:numId="19">
    <w:abstractNumId w:val="10"/>
  </w:num>
  <w:num w:numId="20">
    <w:abstractNumId w:val="6"/>
  </w:num>
  <w:num w:numId="21">
    <w:abstractNumId w:val="21"/>
  </w:num>
  <w:num w:numId="22">
    <w:abstractNumId w:val="9"/>
  </w:num>
  <w:num w:numId="23">
    <w:abstractNumId w:val="14"/>
  </w:num>
  <w:num w:numId="24">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B10"/>
    <w:rsid w:val="00007D18"/>
    <w:rsid w:val="0001542C"/>
    <w:rsid w:val="00016D95"/>
    <w:rsid w:val="00023574"/>
    <w:rsid w:val="00024459"/>
    <w:rsid w:val="00027040"/>
    <w:rsid w:val="00027690"/>
    <w:rsid w:val="00031893"/>
    <w:rsid w:val="00036ED0"/>
    <w:rsid w:val="0004134A"/>
    <w:rsid w:val="00042B7B"/>
    <w:rsid w:val="0004442C"/>
    <w:rsid w:val="00044581"/>
    <w:rsid w:val="00051DBE"/>
    <w:rsid w:val="000533F8"/>
    <w:rsid w:val="00056704"/>
    <w:rsid w:val="00056F1A"/>
    <w:rsid w:val="00065851"/>
    <w:rsid w:val="0006667B"/>
    <w:rsid w:val="00072FD8"/>
    <w:rsid w:val="0008658B"/>
    <w:rsid w:val="0008790B"/>
    <w:rsid w:val="00087BD4"/>
    <w:rsid w:val="00094655"/>
    <w:rsid w:val="000A26DB"/>
    <w:rsid w:val="000C3CF9"/>
    <w:rsid w:val="000C3D2C"/>
    <w:rsid w:val="000C7D24"/>
    <w:rsid w:val="000E1F5E"/>
    <w:rsid w:val="000E3402"/>
    <w:rsid w:val="000E5E32"/>
    <w:rsid w:val="0010377F"/>
    <w:rsid w:val="0010625F"/>
    <w:rsid w:val="001119EB"/>
    <w:rsid w:val="00125726"/>
    <w:rsid w:val="00127C0D"/>
    <w:rsid w:val="00132DBC"/>
    <w:rsid w:val="00135D95"/>
    <w:rsid w:val="0014184D"/>
    <w:rsid w:val="00153A77"/>
    <w:rsid w:val="001631AE"/>
    <w:rsid w:val="00163FFB"/>
    <w:rsid w:val="00171452"/>
    <w:rsid w:val="001735D9"/>
    <w:rsid w:val="001762D9"/>
    <w:rsid w:val="001819B6"/>
    <w:rsid w:val="001910BF"/>
    <w:rsid w:val="001940AF"/>
    <w:rsid w:val="001940C0"/>
    <w:rsid w:val="00195CB5"/>
    <w:rsid w:val="001A2D7D"/>
    <w:rsid w:val="001B5A55"/>
    <w:rsid w:val="001C5024"/>
    <w:rsid w:val="001F0E9F"/>
    <w:rsid w:val="001F3AFC"/>
    <w:rsid w:val="001F7C4A"/>
    <w:rsid w:val="00205474"/>
    <w:rsid w:val="0021295F"/>
    <w:rsid w:val="002129C2"/>
    <w:rsid w:val="00212D28"/>
    <w:rsid w:val="00222C36"/>
    <w:rsid w:val="00240F42"/>
    <w:rsid w:val="0024169E"/>
    <w:rsid w:val="0024198D"/>
    <w:rsid w:val="00241E24"/>
    <w:rsid w:val="00243B9B"/>
    <w:rsid w:val="002455D4"/>
    <w:rsid w:val="002522CC"/>
    <w:rsid w:val="00253C13"/>
    <w:rsid w:val="00261D8B"/>
    <w:rsid w:val="00273BB6"/>
    <w:rsid w:val="00286CD4"/>
    <w:rsid w:val="00287564"/>
    <w:rsid w:val="0029425B"/>
    <w:rsid w:val="0029673A"/>
    <w:rsid w:val="002A0E5A"/>
    <w:rsid w:val="002A1116"/>
    <w:rsid w:val="002A2AEC"/>
    <w:rsid w:val="002B0DD4"/>
    <w:rsid w:val="002B1045"/>
    <w:rsid w:val="002B32BA"/>
    <w:rsid w:val="002B5915"/>
    <w:rsid w:val="002C1492"/>
    <w:rsid w:val="002C21C5"/>
    <w:rsid w:val="002C4057"/>
    <w:rsid w:val="002C436B"/>
    <w:rsid w:val="002C4B66"/>
    <w:rsid w:val="002C711E"/>
    <w:rsid w:val="002D18F3"/>
    <w:rsid w:val="002D48FE"/>
    <w:rsid w:val="002D56E9"/>
    <w:rsid w:val="002D7B00"/>
    <w:rsid w:val="002F4602"/>
    <w:rsid w:val="003029CE"/>
    <w:rsid w:val="00320DAC"/>
    <w:rsid w:val="00332BF4"/>
    <w:rsid w:val="00342AC7"/>
    <w:rsid w:val="00342FC7"/>
    <w:rsid w:val="00344705"/>
    <w:rsid w:val="00344E1F"/>
    <w:rsid w:val="00353E1A"/>
    <w:rsid w:val="00361815"/>
    <w:rsid w:val="00361BCC"/>
    <w:rsid w:val="003630F4"/>
    <w:rsid w:val="0036362F"/>
    <w:rsid w:val="00363AAA"/>
    <w:rsid w:val="00371B3F"/>
    <w:rsid w:val="00371FDA"/>
    <w:rsid w:val="00375DE2"/>
    <w:rsid w:val="003820DB"/>
    <w:rsid w:val="003905CE"/>
    <w:rsid w:val="003B01DD"/>
    <w:rsid w:val="003B40D9"/>
    <w:rsid w:val="003C0D19"/>
    <w:rsid w:val="003D0A8B"/>
    <w:rsid w:val="003D1197"/>
    <w:rsid w:val="003D1FF1"/>
    <w:rsid w:val="003D2C64"/>
    <w:rsid w:val="003D54F1"/>
    <w:rsid w:val="003D7E6F"/>
    <w:rsid w:val="003D7FB9"/>
    <w:rsid w:val="003E2805"/>
    <w:rsid w:val="003E4517"/>
    <w:rsid w:val="003F3436"/>
    <w:rsid w:val="003F4306"/>
    <w:rsid w:val="003F6FC7"/>
    <w:rsid w:val="00402E19"/>
    <w:rsid w:val="0041128F"/>
    <w:rsid w:val="0043148C"/>
    <w:rsid w:val="00441749"/>
    <w:rsid w:val="004424A1"/>
    <w:rsid w:val="0044266C"/>
    <w:rsid w:val="00445423"/>
    <w:rsid w:val="00446DDC"/>
    <w:rsid w:val="00446EA1"/>
    <w:rsid w:val="00451C9D"/>
    <w:rsid w:val="0045250A"/>
    <w:rsid w:val="004555AE"/>
    <w:rsid w:val="004654F4"/>
    <w:rsid w:val="00472B1C"/>
    <w:rsid w:val="004818DD"/>
    <w:rsid w:val="00484935"/>
    <w:rsid w:val="00487C2E"/>
    <w:rsid w:val="00494E30"/>
    <w:rsid w:val="004A6039"/>
    <w:rsid w:val="004D344A"/>
    <w:rsid w:val="00502522"/>
    <w:rsid w:val="005045FA"/>
    <w:rsid w:val="0051734A"/>
    <w:rsid w:val="00517884"/>
    <w:rsid w:val="0052588E"/>
    <w:rsid w:val="00540179"/>
    <w:rsid w:val="005464A7"/>
    <w:rsid w:val="005479AC"/>
    <w:rsid w:val="005639FA"/>
    <w:rsid w:val="00581D97"/>
    <w:rsid w:val="00587B15"/>
    <w:rsid w:val="00587B54"/>
    <w:rsid w:val="0059636D"/>
    <w:rsid w:val="00596D42"/>
    <w:rsid w:val="005A1CA5"/>
    <w:rsid w:val="005A42E9"/>
    <w:rsid w:val="005B0AA5"/>
    <w:rsid w:val="005B504C"/>
    <w:rsid w:val="005C0190"/>
    <w:rsid w:val="005C1857"/>
    <w:rsid w:val="005D0863"/>
    <w:rsid w:val="005D2B7D"/>
    <w:rsid w:val="005E78D6"/>
    <w:rsid w:val="005F18AB"/>
    <w:rsid w:val="00604689"/>
    <w:rsid w:val="0060551A"/>
    <w:rsid w:val="0061380F"/>
    <w:rsid w:val="00620375"/>
    <w:rsid w:val="0063433E"/>
    <w:rsid w:val="006415B7"/>
    <w:rsid w:val="00646B12"/>
    <w:rsid w:val="00651B10"/>
    <w:rsid w:val="00663607"/>
    <w:rsid w:val="00663F1F"/>
    <w:rsid w:val="00673FDD"/>
    <w:rsid w:val="0068193B"/>
    <w:rsid w:val="006843DE"/>
    <w:rsid w:val="006942F1"/>
    <w:rsid w:val="00695BCF"/>
    <w:rsid w:val="006974A6"/>
    <w:rsid w:val="006A456C"/>
    <w:rsid w:val="006A74AA"/>
    <w:rsid w:val="006B11A0"/>
    <w:rsid w:val="006B622A"/>
    <w:rsid w:val="006B6243"/>
    <w:rsid w:val="006D7A12"/>
    <w:rsid w:val="006E3126"/>
    <w:rsid w:val="006E4043"/>
    <w:rsid w:val="006E6198"/>
    <w:rsid w:val="006F2D45"/>
    <w:rsid w:val="007019F2"/>
    <w:rsid w:val="00713390"/>
    <w:rsid w:val="0072209C"/>
    <w:rsid w:val="00722FAE"/>
    <w:rsid w:val="00725156"/>
    <w:rsid w:val="00726701"/>
    <w:rsid w:val="00734603"/>
    <w:rsid w:val="00740A11"/>
    <w:rsid w:val="00745D5D"/>
    <w:rsid w:val="00761432"/>
    <w:rsid w:val="00763EFC"/>
    <w:rsid w:val="00764E93"/>
    <w:rsid w:val="007728DD"/>
    <w:rsid w:val="00773B7B"/>
    <w:rsid w:val="00783AC0"/>
    <w:rsid w:val="007950BA"/>
    <w:rsid w:val="00795F8B"/>
    <w:rsid w:val="00796A65"/>
    <w:rsid w:val="007A0075"/>
    <w:rsid w:val="007A1C01"/>
    <w:rsid w:val="007B407C"/>
    <w:rsid w:val="007C054A"/>
    <w:rsid w:val="007C2B23"/>
    <w:rsid w:val="007C7069"/>
    <w:rsid w:val="007D177D"/>
    <w:rsid w:val="007D3ED3"/>
    <w:rsid w:val="007E2BAE"/>
    <w:rsid w:val="007E557E"/>
    <w:rsid w:val="007F015C"/>
    <w:rsid w:val="00814EB4"/>
    <w:rsid w:val="00816078"/>
    <w:rsid w:val="00816540"/>
    <w:rsid w:val="00817516"/>
    <w:rsid w:val="00821C6E"/>
    <w:rsid w:val="0082530B"/>
    <w:rsid w:val="00826108"/>
    <w:rsid w:val="00832D8F"/>
    <w:rsid w:val="00841A31"/>
    <w:rsid w:val="008550AF"/>
    <w:rsid w:val="008609D0"/>
    <w:rsid w:val="0086621A"/>
    <w:rsid w:val="008A2032"/>
    <w:rsid w:val="008A65A8"/>
    <w:rsid w:val="008A696D"/>
    <w:rsid w:val="008A7F4B"/>
    <w:rsid w:val="008B16E2"/>
    <w:rsid w:val="008B30BF"/>
    <w:rsid w:val="008C1226"/>
    <w:rsid w:val="008C5D8E"/>
    <w:rsid w:val="008E298B"/>
    <w:rsid w:val="008E2A89"/>
    <w:rsid w:val="008E6118"/>
    <w:rsid w:val="008E6149"/>
    <w:rsid w:val="00912234"/>
    <w:rsid w:val="00923230"/>
    <w:rsid w:val="0092372C"/>
    <w:rsid w:val="0092399A"/>
    <w:rsid w:val="00927165"/>
    <w:rsid w:val="00927A5D"/>
    <w:rsid w:val="00930953"/>
    <w:rsid w:val="0093483F"/>
    <w:rsid w:val="009369D6"/>
    <w:rsid w:val="0093765D"/>
    <w:rsid w:val="009411D9"/>
    <w:rsid w:val="00944F39"/>
    <w:rsid w:val="00946B10"/>
    <w:rsid w:val="00957534"/>
    <w:rsid w:val="00957C0A"/>
    <w:rsid w:val="00976AEE"/>
    <w:rsid w:val="00985E59"/>
    <w:rsid w:val="00986AAA"/>
    <w:rsid w:val="00990B7C"/>
    <w:rsid w:val="00990BB3"/>
    <w:rsid w:val="00993307"/>
    <w:rsid w:val="0099383D"/>
    <w:rsid w:val="009971B6"/>
    <w:rsid w:val="009971E8"/>
    <w:rsid w:val="009A48DE"/>
    <w:rsid w:val="009A7446"/>
    <w:rsid w:val="009B081D"/>
    <w:rsid w:val="009B2F46"/>
    <w:rsid w:val="009B487D"/>
    <w:rsid w:val="009B4894"/>
    <w:rsid w:val="009B4D4A"/>
    <w:rsid w:val="009C0FD8"/>
    <w:rsid w:val="009C27D9"/>
    <w:rsid w:val="009C4E1A"/>
    <w:rsid w:val="009C4EA3"/>
    <w:rsid w:val="009C56FD"/>
    <w:rsid w:val="009D5855"/>
    <w:rsid w:val="009E0E02"/>
    <w:rsid w:val="009E5EF0"/>
    <w:rsid w:val="009E72C6"/>
    <w:rsid w:val="009F44B1"/>
    <w:rsid w:val="00A06256"/>
    <w:rsid w:val="00A078BD"/>
    <w:rsid w:val="00A1296E"/>
    <w:rsid w:val="00A302F5"/>
    <w:rsid w:val="00A31FAB"/>
    <w:rsid w:val="00A40178"/>
    <w:rsid w:val="00A41E44"/>
    <w:rsid w:val="00A4442C"/>
    <w:rsid w:val="00A4584F"/>
    <w:rsid w:val="00A4778F"/>
    <w:rsid w:val="00A57683"/>
    <w:rsid w:val="00A62A9A"/>
    <w:rsid w:val="00A642A7"/>
    <w:rsid w:val="00A674D0"/>
    <w:rsid w:val="00A85B70"/>
    <w:rsid w:val="00A92B3A"/>
    <w:rsid w:val="00A97968"/>
    <w:rsid w:val="00A97EA8"/>
    <w:rsid w:val="00AC0758"/>
    <w:rsid w:val="00AC29D9"/>
    <w:rsid w:val="00AC390B"/>
    <w:rsid w:val="00AD7D70"/>
    <w:rsid w:val="00AE1929"/>
    <w:rsid w:val="00AE4D14"/>
    <w:rsid w:val="00AE70BC"/>
    <w:rsid w:val="00AF46B4"/>
    <w:rsid w:val="00B03E97"/>
    <w:rsid w:val="00B0604C"/>
    <w:rsid w:val="00B06E37"/>
    <w:rsid w:val="00B11F5B"/>
    <w:rsid w:val="00B127CA"/>
    <w:rsid w:val="00B13755"/>
    <w:rsid w:val="00B153BC"/>
    <w:rsid w:val="00B15F9E"/>
    <w:rsid w:val="00B24771"/>
    <w:rsid w:val="00B27B43"/>
    <w:rsid w:val="00B30449"/>
    <w:rsid w:val="00B444C7"/>
    <w:rsid w:val="00B446DA"/>
    <w:rsid w:val="00B502AB"/>
    <w:rsid w:val="00B5371D"/>
    <w:rsid w:val="00B57316"/>
    <w:rsid w:val="00B664C5"/>
    <w:rsid w:val="00B70E14"/>
    <w:rsid w:val="00B8477D"/>
    <w:rsid w:val="00BA1FF5"/>
    <w:rsid w:val="00BA477D"/>
    <w:rsid w:val="00BA555B"/>
    <w:rsid w:val="00BB0F20"/>
    <w:rsid w:val="00BC1625"/>
    <w:rsid w:val="00BC2B02"/>
    <w:rsid w:val="00BE2106"/>
    <w:rsid w:val="00BE7C91"/>
    <w:rsid w:val="00BF294A"/>
    <w:rsid w:val="00C010DD"/>
    <w:rsid w:val="00C0210F"/>
    <w:rsid w:val="00C07386"/>
    <w:rsid w:val="00C2038B"/>
    <w:rsid w:val="00C522F9"/>
    <w:rsid w:val="00C53C29"/>
    <w:rsid w:val="00C54ED7"/>
    <w:rsid w:val="00C61B94"/>
    <w:rsid w:val="00C70387"/>
    <w:rsid w:val="00C74C84"/>
    <w:rsid w:val="00C76271"/>
    <w:rsid w:val="00C806B8"/>
    <w:rsid w:val="00C91F65"/>
    <w:rsid w:val="00CA248C"/>
    <w:rsid w:val="00CB7CA0"/>
    <w:rsid w:val="00CD2315"/>
    <w:rsid w:val="00CD5435"/>
    <w:rsid w:val="00CD6B2D"/>
    <w:rsid w:val="00CE236E"/>
    <w:rsid w:val="00CF0022"/>
    <w:rsid w:val="00CF2481"/>
    <w:rsid w:val="00CF44EE"/>
    <w:rsid w:val="00CF58B4"/>
    <w:rsid w:val="00D03978"/>
    <w:rsid w:val="00D04DDF"/>
    <w:rsid w:val="00D11EE2"/>
    <w:rsid w:val="00D13C4F"/>
    <w:rsid w:val="00D26691"/>
    <w:rsid w:val="00D272C5"/>
    <w:rsid w:val="00D27E62"/>
    <w:rsid w:val="00D34736"/>
    <w:rsid w:val="00D46A56"/>
    <w:rsid w:val="00D61F41"/>
    <w:rsid w:val="00D67344"/>
    <w:rsid w:val="00D67B5F"/>
    <w:rsid w:val="00D721EC"/>
    <w:rsid w:val="00D80407"/>
    <w:rsid w:val="00D817B3"/>
    <w:rsid w:val="00D81AEF"/>
    <w:rsid w:val="00D85767"/>
    <w:rsid w:val="00D95490"/>
    <w:rsid w:val="00D96E32"/>
    <w:rsid w:val="00DA754D"/>
    <w:rsid w:val="00DB1D8A"/>
    <w:rsid w:val="00DB4631"/>
    <w:rsid w:val="00DC03F0"/>
    <w:rsid w:val="00DC770B"/>
    <w:rsid w:val="00DD3736"/>
    <w:rsid w:val="00DD5E95"/>
    <w:rsid w:val="00DD6261"/>
    <w:rsid w:val="00DE04A3"/>
    <w:rsid w:val="00DE5766"/>
    <w:rsid w:val="00DF326E"/>
    <w:rsid w:val="00E01F74"/>
    <w:rsid w:val="00E03A93"/>
    <w:rsid w:val="00E03BAF"/>
    <w:rsid w:val="00E06302"/>
    <w:rsid w:val="00E07BA1"/>
    <w:rsid w:val="00E1125F"/>
    <w:rsid w:val="00E23400"/>
    <w:rsid w:val="00E24008"/>
    <w:rsid w:val="00E27395"/>
    <w:rsid w:val="00E35553"/>
    <w:rsid w:val="00E36388"/>
    <w:rsid w:val="00E5070B"/>
    <w:rsid w:val="00E605D5"/>
    <w:rsid w:val="00E7155F"/>
    <w:rsid w:val="00E82124"/>
    <w:rsid w:val="00E9070D"/>
    <w:rsid w:val="00E91738"/>
    <w:rsid w:val="00E94168"/>
    <w:rsid w:val="00E95FDB"/>
    <w:rsid w:val="00E96887"/>
    <w:rsid w:val="00EA0E0F"/>
    <w:rsid w:val="00EA309C"/>
    <w:rsid w:val="00EA3F7D"/>
    <w:rsid w:val="00EA5DD8"/>
    <w:rsid w:val="00EB21E2"/>
    <w:rsid w:val="00EB6D20"/>
    <w:rsid w:val="00ED279F"/>
    <w:rsid w:val="00ED5D89"/>
    <w:rsid w:val="00EE2B47"/>
    <w:rsid w:val="00EF37DD"/>
    <w:rsid w:val="00F00241"/>
    <w:rsid w:val="00F00C05"/>
    <w:rsid w:val="00F037E9"/>
    <w:rsid w:val="00F05A0F"/>
    <w:rsid w:val="00F07534"/>
    <w:rsid w:val="00F13187"/>
    <w:rsid w:val="00F13E4C"/>
    <w:rsid w:val="00F2008D"/>
    <w:rsid w:val="00F21C81"/>
    <w:rsid w:val="00F304A6"/>
    <w:rsid w:val="00F3100C"/>
    <w:rsid w:val="00F3776E"/>
    <w:rsid w:val="00F4173F"/>
    <w:rsid w:val="00F503E7"/>
    <w:rsid w:val="00F55FCB"/>
    <w:rsid w:val="00F61DDB"/>
    <w:rsid w:val="00F65341"/>
    <w:rsid w:val="00F70DEF"/>
    <w:rsid w:val="00F70E80"/>
    <w:rsid w:val="00F72A38"/>
    <w:rsid w:val="00F740D5"/>
    <w:rsid w:val="00F823C8"/>
    <w:rsid w:val="00F92D8E"/>
    <w:rsid w:val="00F968E2"/>
    <w:rsid w:val="00FA2221"/>
    <w:rsid w:val="00FA3C7E"/>
    <w:rsid w:val="00FB3BA9"/>
    <w:rsid w:val="00FB7DA6"/>
    <w:rsid w:val="00FC568D"/>
    <w:rsid w:val="00FD1333"/>
    <w:rsid w:val="00FD38D6"/>
    <w:rsid w:val="00FD4D30"/>
    <w:rsid w:val="00FD533A"/>
    <w:rsid w:val="00FE1EED"/>
    <w:rsid w:val="00FE42DF"/>
    <w:rsid w:val="00FE64AC"/>
    <w:rsid w:val="00FE70D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456A74C"/>
  <w15:chartTrackingRefBased/>
  <w15:docId w15:val="{7365C2CF-4609-4C6B-B109-129AF511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7F015C"/>
    <w:rPr>
      <w:rFonts w:ascii="Arial" w:hAnsi="Arial"/>
      <w:szCs w:val="24"/>
      <w:lang w:val="nl-NL" w:eastAsia="nl-NL"/>
    </w:rPr>
  </w:style>
  <w:style w:type="paragraph" w:styleId="Kop1">
    <w:name w:val="heading 1"/>
    <w:aliases w:val="EFRO Kop 1"/>
    <w:basedOn w:val="Standaard"/>
    <w:next w:val="Standaard"/>
    <w:link w:val="Kop1Char"/>
    <w:qFormat/>
    <w:rsid w:val="00EA3F7D"/>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aliases w:val="EFRO Kop 2"/>
    <w:basedOn w:val="Standaard"/>
    <w:next w:val="Standaard"/>
    <w:link w:val="Kop2Char"/>
    <w:unhideWhenUsed/>
    <w:qFormat/>
    <w:rsid w:val="00B664C5"/>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semiHidden/>
    <w:unhideWhenUsed/>
    <w:qFormat/>
    <w:rsid w:val="00A4778F"/>
    <w:pPr>
      <w:keepNext/>
      <w:keepLines/>
      <w:numPr>
        <w:ilvl w:val="2"/>
        <w:numId w:val="1"/>
      </w:numPr>
      <w:spacing w:before="40"/>
      <w:outlineLvl w:val="2"/>
    </w:pPr>
    <w:rPr>
      <w:rFonts w:asciiTheme="majorHAnsi" w:eastAsiaTheme="majorEastAsia" w:hAnsiTheme="majorHAnsi" w:cstheme="majorBidi"/>
      <w:color w:val="1F4D78" w:themeColor="accent1" w:themeShade="7F"/>
      <w:sz w:val="24"/>
    </w:rPr>
  </w:style>
  <w:style w:type="paragraph" w:styleId="Kop4">
    <w:name w:val="heading 4"/>
    <w:basedOn w:val="Standaard"/>
    <w:next w:val="Standaard"/>
    <w:link w:val="Kop4Char"/>
    <w:semiHidden/>
    <w:unhideWhenUsed/>
    <w:qFormat/>
    <w:rsid w:val="00A4778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semiHidden/>
    <w:unhideWhenUsed/>
    <w:qFormat/>
    <w:rsid w:val="00A4778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semiHidden/>
    <w:unhideWhenUsed/>
    <w:qFormat/>
    <w:rsid w:val="00A4778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semiHidden/>
    <w:unhideWhenUsed/>
    <w:qFormat/>
    <w:rsid w:val="00A4778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semiHidden/>
    <w:unhideWhenUsed/>
    <w:qFormat/>
    <w:rsid w:val="00A477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semiHidden/>
    <w:unhideWhenUsed/>
    <w:qFormat/>
    <w:rsid w:val="00A477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aliases w:val="PPC Note de bas de page,Char1,Footnote Text Char3 Char,Footnote Text Char1 Char1 Char,Footnote Text Char2 Char Char Char,Footnote Text Char1 Char1 Char Char Char,Footnote Text Char2 Char Char Char Char Char,Footnote Text Char3,fn Cha"/>
    <w:basedOn w:val="Standaard"/>
    <w:link w:val="VoetnoottekstChar"/>
    <w:uiPriority w:val="99"/>
    <w:rsid w:val="00F304A6"/>
    <w:rPr>
      <w:szCs w:val="20"/>
    </w:rPr>
  </w:style>
  <w:style w:type="character" w:styleId="Voetnootmarkering">
    <w:name w:val="footnote reference"/>
    <w:aliases w:val="Voetnoot,ftref,Footnotes refss,Fussnota,Footnote symbol,Footnote reference number,Times 10 Point,Exposant 3 Point,EN Footnote Reference,note TESI,Footnote Reference Superscript,Zchn Zchn,Footnote number,Footnote Reference Number"/>
    <w:uiPriority w:val="99"/>
    <w:rsid w:val="00F304A6"/>
    <w:rPr>
      <w:vertAlign w:val="superscript"/>
    </w:rPr>
  </w:style>
  <w:style w:type="character" w:styleId="Hyperlink">
    <w:name w:val="Hyperlink"/>
    <w:rsid w:val="00163FFB"/>
    <w:rPr>
      <w:rFonts w:ascii="Arial" w:hAnsi="Arial"/>
      <w:color w:val="auto"/>
      <w:sz w:val="20"/>
      <w:u w:val="single"/>
    </w:rPr>
  </w:style>
  <w:style w:type="paragraph" w:styleId="Ballontekst">
    <w:name w:val="Balloon Text"/>
    <w:basedOn w:val="Standaard"/>
    <w:semiHidden/>
    <w:rsid w:val="006A456C"/>
    <w:rPr>
      <w:rFonts w:ascii="Tahoma" w:hAnsi="Tahoma" w:cs="Tahoma"/>
      <w:sz w:val="16"/>
      <w:szCs w:val="16"/>
    </w:rPr>
  </w:style>
  <w:style w:type="paragraph" w:styleId="Koptekst">
    <w:name w:val="header"/>
    <w:basedOn w:val="Standaard"/>
    <w:link w:val="KoptekstChar"/>
    <w:rsid w:val="008A2032"/>
    <w:pPr>
      <w:tabs>
        <w:tab w:val="center" w:pos="4536"/>
        <w:tab w:val="right" w:pos="9072"/>
      </w:tabs>
    </w:pPr>
  </w:style>
  <w:style w:type="paragraph" w:styleId="Voettekst">
    <w:name w:val="footer"/>
    <w:basedOn w:val="Standaard"/>
    <w:link w:val="VoettekstChar"/>
    <w:uiPriority w:val="99"/>
    <w:rsid w:val="008A2032"/>
    <w:pPr>
      <w:tabs>
        <w:tab w:val="center" w:pos="4536"/>
        <w:tab w:val="right" w:pos="9072"/>
      </w:tabs>
    </w:pPr>
  </w:style>
  <w:style w:type="table" w:styleId="Tabelraster">
    <w:name w:val="Table Grid"/>
    <w:basedOn w:val="Standaardtabel"/>
    <w:rsid w:val="00D95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arCharCharCharCharCharCharCharCharCharCharCharCharCharCarCharChar1Car">
    <w:name w:val="Char Char Char Char Char Char Char Char Char Char Char Char Car Char Char Char Char Char Char Char Char Char Char Char Char Char Car Char Char1 Car"/>
    <w:basedOn w:val="Standaard"/>
    <w:rsid w:val="0093765D"/>
    <w:pPr>
      <w:spacing w:after="160" w:line="240" w:lineRule="exact"/>
    </w:pPr>
    <w:rPr>
      <w:rFonts w:ascii="Tahoma" w:hAnsi="Tahoma"/>
      <w:szCs w:val="20"/>
      <w:lang w:val="nl-BE" w:eastAsia="en-US"/>
    </w:rPr>
  </w:style>
  <w:style w:type="paragraph" w:styleId="Plattetekst">
    <w:name w:val="Body Text"/>
    <w:basedOn w:val="Standaard"/>
    <w:link w:val="PlattetekstChar"/>
    <w:rsid w:val="00B8477D"/>
    <w:pPr>
      <w:tabs>
        <w:tab w:val="left" w:pos="426"/>
        <w:tab w:val="left" w:pos="709"/>
        <w:tab w:val="left" w:pos="851"/>
        <w:tab w:val="left" w:pos="5670"/>
      </w:tabs>
      <w:jc w:val="both"/>
    </w:pPr>
    <w:rPr>
      <w:rFonts w:ascii="Times New Roman" w:hAnsi="Times New Roman"/>
      <w:sz w:val="24"/>
      <w:szCs w:val="20"/>
    </w:rPr>
  </w:style>
  <w:style w:type="character" w:customStyle="1" w:styleId="PlattetekstChar">
    <w:name w:val="Platte tekst Char"/>
    <w:link w:val="Plattetekst"/>
    <w:rsid w:val="00B8477D"/>
    <w:rPr>
      <w:sz w:val="24"/>
      <w:lang w:val="nl-NL" w:eastAsia="nl-NL"/>
    </w:rPr>
  </w:style>
  <w:style w:type="character" w:customStyle="1" w:styleId="VoetnoottekstChar">
    <w:name w:val="Voetnoottekst Char"/>
    <w:aliases w:val="PPC Note de bas de page Char,Char1 Char,Footnote Text Char3 Char Char,Footnote Text Char1 Char1 Char Char,Footnote Text Char2 Char Char Char Char,Footnote Text Char1 Char1 Char Char Char Char,Footnote Text Char3 Char1,fn Cha Char"/>
    <w:link w:val="Voetnoottekst"/>
    <w:uiPriority w:val="99"/>
    <w:rsid w:val="00773B7B"/>
    <w:rPr>
      <w:rFonts w:ascii="Arial" w:hAnsi="Arial"/>
      <w:lang w:val="nl-NL" w:eastAsia="nl-NL"/>
    </w:rPr>
  </w:style>
  <w:style w:type="character" w:styleId="Tekstvantijdelijkeaanduiding">
    <w:name w:val="Placeholder Text"/>
    <w:basedOn w:val="Standaardalinea-lettertype"/>
    <w:uiPriority w:val="99"/>
    <w:semiHidden/>
    <w:rsid w:val="003B40D9"/>
    <w:rPr>
      <w:color w:val="808080"/>
    </w:rPr>
  </w:style>
  <w:style w:type="paragraph" w:styleId="Lijstalinea">
    <w:name w:val="List Paragraph"/>
    <w:basedOn w:val="Standaard"/>
    <w:uiPriority w:val="34"/>
    <w:qFormat/>
    <w:rsid w:val="002B0DD4"/>
    <w:pPr>
      <w:ind w:left="720"/>
      <w:contextualSpacing/>
    </w:pPr>
  </w:style>
  <w:style w:type="paragraph" w:styleId="Geenafstand">
    <w:name w:val="No Spacing"/>
    <w:uiPriority w:val="1"/>
    <w:qFormat/>
    <w:rsid w:val="001C5024"/>
    <w:rPr>
      <w:rFonts w:asciiTheme="minorHAnsi" w:eastAsiaTheme="minorHAnsi" w:hAnsiTheme="minorHAnsi" w:cstheme="minorBidi"/>
      <w:sz w:val="22"/>
      <w:szCs w:val="22"/>
      <w:lang w:eastAsia="en-US"/>
    </w:rPr>
  </w:style>
  <w:style w:type="character" w:customStyle="1" w:styleId="KoptekstChar">
    <w:name w:val="Koptekst Char"/>
    <w:basedOn w:val="Standaardalinea-lettertype"/>
    <w:link w:val="Koptekst"/>
    <w:rsid w:val="00D26691"/>
    <w:rPr>
      <w:rFonts w:ascii="Arial" w:hAnsi="Arial"/>
      <w:szCs w:val="24"/>
      <w:lang w:val="nl-NL" w:eastAsia="nl-NL"/>
    </w:rPr>
  </w:style>
  <w:style w:type="character" w:customStyle="1" w:styleId="VoettekstChar">
    <w:name w:val="Voettekst Char"/>
    <w:basedOn w:val="Standaardalinea-lettertype"/>
    <w:link w:val="Voettekst"/>
    <w:uiPriority w:val="99"/>
    <w:rsid w:val="00D26691"/>
    <w:rPr>
      <w:rFonts w:ascii="Arial" w:hAnsi="Arial"/>
      <w:szCs w:val="24"/>
      <w:lang w:val="nl-NL" w:eastAsia="nl-NL"/>
    </w:rPr>
  </w:style>
  <w:style w:type="character" w:customStyle="1" w:styleId="Kop1Char">
    <w:name w:val="Kop 1 Char"/>
    <w:aliases w:val="EFRO Kop 1 Char"/>
    <w:basedOn w:val="Standaardalinea-lettertype"/>
    <w:link w:val="Kop1"/>
    <w:rsid w:val="00EA3F7D"/>
    <w:rPr>
      <w:rFonts w:asciiTheme="majorHAnsi" w:eastAsiaTheme="majorEastAsia" w:hAnsiTheme="majorHAnsi" w:cstheme="majorBidi"/>
      <w:color w:val="2E74B5" w:themeColor="accent1" w:themeShade="BF"/>
      <w:sz w:val="32"/>
      <w:szCs w:val="32"/>
      <w:lang w:val="nl-NL" w:eastAsia="nl-NL"/>
    </w:rPr>
  </w:style>
  <w:style w:type="character" w:customStyle="1" w:styleId="Kop2Char">
    <w:name w:val="Kop 2 Char"/>
    <w:aliases w:val="EFRO Kop 2 Char"/>
    <w:basedOn w:val="Standaardalinea-lettertype"/>
    <w:link w:val="Kop2"/>
    <w:rsid w:val="00B664C5"/>
    <w:rPr>
      <w:rFonts w:asciiTheme="majorHAnsi" w:eastAsiaTheme="majorEastAsia" w:hAnsiTheme="majorHAnsi" w:cstheme="majorBidi"/>
      <w:color w:val="2E74B5" w:themeColor="accent1" w:themeShade="BF"/>
      <w:sz w:val="26"/>
      <w:szCs w:val="26"/>
      <w:lang w:val="nl-NL" w:eastAsia="nl-NL"/>
    </w:rPr>
  </w:style>
  <w:style w:type="paragraph" w:customStyle="1" w:styleId="CharCharCharCharCharCharCharCharCharCharCharCharCarCharCharCharCharCharCharCharCharCharCharCharCharCharCarCharChar1Car0">
    <w:name w:val="Char Char Char Char Char Char Char Char Char Char Char Char Car Char Char Char Char Char Char Char Char Char Char Char Char Char Car Char Char1 Car"/>
    <w:basedOn w:val="Standaard"/>
    <w:rsid w:val="00B664C5"/>
    <w:pPr>
      <w:spacing w:after="160" w:line="240" w:lineRule="exact"/>
    </w:pPr>
    <w:rPr>
      <w:rFonts w:ascii="Tahoma" w:hAnsi="Tahoma"/>
      <w:szCs w:val="20"/>
      <w:lang w:val="nl-BE" w:eastAsia="en-US"/>
    </w:rPr>
  </w:style>
  <w:style w:type="paragraph" w:styleId="Titel">
    <w:name w:val="Title"/>
    <w:aliases w:val="EFRO Titel"/>
    <w:basedOn w:val="Standaard"/>
    <w:next w:val="Standaard"/>
    <w:link w:val="TitelChar"/>
    <w:autoRedefine/>
    <w:qFormat/>
    <w:rsid w:val="00B664C5"/>
    <w:pPr>
      <w:spacing w:before="240" w:after="60"/>
      <w:outlineLvl w:val="0"/>
    </w:pPr>
    <w:rPr>
      <w:rFonts w:ascii="FlandersArtSans-Regular" w:hAnsi="FlandersArtSans-Regular"/>
      <w:b/>
      <w:bCs/>
      <w:color w:val="1F4E79"/>
      <w:kern w:val="28"/>
      <w:sz w:val="28"/>
      <w:szCs w:val="32"/>
    </w:rPr>
  </w:style>
  <w:style w:type="character" w:customStyle="1" w:styleId="TitelChar">
    <w:name w:val="Titel Char"/>
    <w:aliases w:val="EFRO Titel Char"/>
    <w:basedOn w:val="Standaardalinea-lettertype"/>
    <w:link w:val="Titel"/>
    <w:rsid w:val="00B664C5"/>
    <w:rPr>
      <w:rFonts w:ascii="FlandersArtSans-Regular" w:hAnsi="FlandersArtSans-Regular"/>
      <w:b/>
      <w:bCs/>
      <w:color w:val="1F4E79"/>
      <w:kern w:val="28"/>
      <w:sz w:val="28"/>
      <w:szCs w:val="32"/>
      <w:lang w:val="nl-NL" w:eastAsia="nl-NL"/>
    </w:rPr>
  </w:style>
  <w:style w:type="paragraph" w:customStyle="1" w:styleId="EFROStandaard">
    <w:name w:val="EFRO Standaard"/>
    <w:basedOn w:val="Standaard"/>
    <w:qFormat/>
    <w:rsid w:val="00B664C5"/>
    <w:rPr>
      <w:rFonts w:ascii="FlandersArtSans-Regular" w:hAnsi="FlandersArtSans-Regular"/>
    </w:rPr>
  </w:style>
  <w:style w:type="character" w:styleId="Verwijzingopmerking">
    <w:name w:val="annotation reference"/>
    <w:rsid w:val="00B664C5"/>
    <w:rPr>
      <w:sz w:val="16"/>
      <w:szCs w:val="16"/>
    </w:rPr>
  </w:style>
  <w:style w:type="paragraph" w:styleId="Tekstopmerking">
    <w:name w:val="annotation text"/>
    <w:basedOn w:val="Standaard"/>
    <w:link w:val="TekstopmerkingChar"/>
    <w:rsid w:val="00B664C5"/>
    <w:rPr>
      <w:rFonts w:ascii="Times New Roman" w:hAnsi="Times New Roman"/>
      <w:szCs w:val="20"/>
    </w:rPr>
  </w:style>
  <w:style w:type="character" w:customStyle="1" w:styleId="TekstopmerkingChar">
    <w:name w:val="Tekst opmerking Char"/>
    <w:basedOn w:val="Standaardalinea-lettertype"/>
    <w:link w:val="Tekstopmerking"/>
    <w:rsid w:val="00B664C5"/>
    <w:rPr>
      <w:lang w:val="nl-NL" w:eastAsia="nl-NL"/>
    </w:rPr>
  </w:style>
  <w:style w:type="character" w:customStyle="1" w:styleId="Kop3Char">
    <w:name w:val="Kop 3 Char"/>
    <w:basedOn w:val="Standaardalinea-lettertype"/>
    <w:link w:val="Kop3"/>
    <w:semiHidden/>
    <w:rsid w:val="00A4778F"/>
    <w:rPr>
      <w:rFonts w:asciiTheme="majorHAnsi" w:eastAsiaTheme="majorEastAsia" w:hAnsiTheme="majorHAnsi" w:cstheme="majorBidi"/>
      <w:color w:val="1F4D78" w:themeColor="accent1" w:themeShade="7F"/>
      <w:sz w:val="24"/>
      <w:szCs w:val="24"/>
      <w:lang w:val="nl-NL" w:eastAsia="nl-NL"/>
    </w:rPr>
  </w:style>
  <w:style w:type="character" w:customStyle="1" w:styleId="Kop4Char">
    <w:name w:val="Kop 4 Char"/>
    <w:basedOn w:val="Standaardalinea-lettertype"/>
    <w:link w:val="Kop4"/>
    <w:semiHidden/>
    <w:rsid w:val="00A4778F"/>
    <w:rPr>
      <w:rFonts w:asciiTheme="majorHAnsi" w:eastAsiaTheme="majorEastAsia" w:hAnsiTheme="majorHAnsi" w:cstheme="majorBidi"/>
      <w:i/>
      <w:iCs/>
      <w:color w:val="2E74B5" w:themeColor="accent1" w:themeShade="BF"/>
      <w:szCs w:val="24"/>
      <w:lang w:val="nl-NL" w:eastAsia="nl-NL"/>
    </w:rPr>
  </w:style>
  <w:style w:type="character" w:customStyle="1" w:styleId="Kop5Char">
    <w:name w:val="Kop 5 Char"/>
    <w:basedOn w:val="Standaardalinea-lettertype"/>
    <w:link w:val="Kop5"/>
    <w:semiHidden/>
    <w:rsid w:val="00A4778F"/>
    <w:rPr>
      <w:rFonts w:asciiTheme="majorHAnsi" w:eastAsiaTheme="majorEastAsia" w:hAnsiTheme="majorHAnsi" w:cstheme="majorBidi"/>
      <w:color w:val="2E74B5" w:themeColor="accent1" w:themeShade="BF"/>
      <w:szCs w:val="24"/>
      <w:lang w:val="nl-NL" w:eastAsia="nl-NL"/>
    </w:rPr>
  </w:style>
  <w:style w:type="character" w:customStyle="1" w:styleId="Kop6Char">
    <w:name w:val="Kop 6 Char"/>
    <w:basedOn w:val="Standaardalinea-lettertype"/>
    <w:link w:val="Kop6"/>
    <w:semiHidden/>
    <w:rsid w:val="00A4778F"/>
    <w:rPr>
      <w:rFonts w:asciiTheme="majorHAnsi" w:eastAsiaTheme="majorEastAsia" w:hAnsiTheme="majorHAnsi" w:cstheme="majorBidi"/>
      <w:color w:val="1F4D78" w:themeColor="accent1" w:themeShade="7F"/>
      <w:szCs w:val="24"/>
      <w:lang w:val="nl-NL" w:eastAsia="nl-NL"/>
    </w:rPr>
  </w:style>
  <w:style w:type="character" w:customStyle="1" w:styleId="Kop7Char">
    <w:name w:val="Kop 7 Char"/>
    <w:basedOn w:val="Standaardalinea-lettertype"/>
    <w:link w:val="Kop7"/>
    <w:semiHidden/>
    <w:rsid w:val="00A4778F"/>
    <w:rPr>
      <w:rFonts w:asciiTheme="majorHAnsi" w:eastAsiaTheme="majorEastAsia" w:hAnsiTheme="majorHAnsi" w:cstheme="majorBidi"/>
      <w:i/>
      <w:iCs/>
      <w:color w:val="1F4D78" w:themeColor="accent1" w:themeShade="7F"/>
      <w:szCs w:val="24"/>
      <w:lang w:val="nl-NL" w:eastAsia="nl-NL"/>
    </w:rPr>
  </w:style>
  <w:style w:type="character" w:customStyle="1" w:styleId="Kop8Char">
    <w:name w:val="Kop 8 Char"/>
    <w:basedOn w:val="Standaardalinea-lettertype"/>
    <w:link w:val="Kop8"/>
    <w:semiHidden/>
    <w:rsid w:val="00A4778F"/>
    <w:rPr>
      <w:rFonts w:asciiTheme="majorHAnsi" w:eastAsiaTheme="majorEastAsia" w:hAnsiTheme="majorHAnsi" w:cstheme="majorBidi"/>
      <w:color w:val="272727" w:themeColor="text1" w:themeTint="D8"/>
      <w:sz w:val="21"/>
      <w:szCs w:val="21"/>
      <w:lang w:val="nl-NL" w:eastAsia="nl-NL"/>
    </w:rPr>
  </w:style>
  <w:style w:type="character" w:customStyle="1" w:styleId="Kop9Char">
    <w:name w:val="Kop 9 Char"/>
    <w:basedOn w:val="Standaardalinea-lettertype"/>
    <w:link w:val="Kop9"/>
    <w:semiHidden/>
    <w:rsid w:val="00A4778F"/>
    <w:rPr>
      <w:rFonts w:asciiTheme="majorHAnsi" w:eastAsiaTheme="majorEastAsia" w:hAnsiTheme="majorHAnsi" w:cstheme="majorBidi"/>
      <w:i/>
      <w:iCs/>
      <w:color w:val="272727" w:themeColor="text1" w:themeTint="D8"/>
      <w:sz w:val="21"/>
      <w:szCs w:val="21"/>
      <w:lang w:val="nl-NL" w:eastAsia="nl-NL"/>
    </w:rPr>
  </w:style>
  <w:style w:type="paragraph" w:customStyle="1" w:styleId="CharCharCharCharCharCharCharCharCharCharCharCharCarCharCharCharCharCharCharCharCharCharCharCharCharCharCarCharChar1Car1">
    <w:name w:val="Char Char Char Char Char Char Char Char Char Char Char Char Car Char Char Char Char Char Char Char Char Char Char Char Char Char Car Char Char1 Car"/>
    <w:basedOn w:val="Standaard"/>
    <w:rsid w:val="000533F8"/>
    <w:pPr>
      <w:spacing w:after="160" w:line="240" w:lineRule="exact"/>
    </w:pPr>
    <w:rPr>
      <w:rFonts w:ascii="Tahoma" w:hAnsi="Tahoma"/>
      <w:szCs w:val="20"/>
      <w:lang w:val="nl-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2718">
      <w:bodyDiv w:val="1"/>
      <w:marLeft w:val="0"/>
      <w:marRight w:val="0"/>
      <w:marTop w:val="0"/>
      <w:marBottom w:val="0"/>
      <w:divBdr>
        <w:top w:val="none" w:sz="0" w:space="0" w:color="auto"/>
        <w:left w:val="none" w:sz="0" w:space="0" w:color="auto"/>
        <w:bottom w:val="none" w:sz="0" w:space="0" w:color="auto"/>
        <w:right w:val="none" w:sz="0" w:space="0" w:color="auto"/>
      </w:divBdr>
    </w:div>
    <w:div w:id="86315658">
      <w:bodyDiv w:val="1"/>
      <w:marLeft w:val="0"/>
      <w:marRight w:val="0"/>
      <w:marTop w:val="0"/>
      <w:marBottom w:val="0"/>
      <w:divBdr>
        <w:top w:val="none" w:sz="0" w:space="0" w:color="auto"/>
        <w:left w:val="none" w:sz="0" w:space="0" w:color="auto"/>
        <w:bottom w:val="none" w:sz="0" w:space="0" w:color="auto"/>
        <w:right w:val="none" w:sz="0" w:space="0" w:color="auto"/>
      </w:divBdr>
    </w:div>
    <w:div w:id="92752695">
      <w:bodyDiv w:val="1"/>
      <w:marLeft w:val="0"/>
      <w:marRight w:val="0"/>
      <w:marTop w:val="0"/>
      <w:marBottom w:val="0"/>
      <w:divBdr>
        <w:top w:val="none" w:sz="0" w:space="0" w:color="auto"/>
        <w:left w:val="none" w:sz="0" w:space="0" w:color="auto"/>
        <w:bottom w:val="none" w:sz="0" w:space="0" w:color="auto"/>
        <w:right w:val="none" w:sz="0" w:space="0" w:color="auto"/>
      </w:divBdr>
    </w:div>
    <w:div w:id="157893971">
      <w:bodyDiv w:val="1"/>
      <w:marLeft w:val="0"/>
      <w:marRight w:val="0"/>
      <w:marTop w:val="0"/>
      <w:marBottom w:val="0"/>
      <w:divBdr>
        <w:top w:val="none" w:sz="0" w:space="0" w:color="auto"/>
        <w:left w:val="none" w:sz="0" w:space="0" w:color="auto"/>
        <w:bottom w:val="none" w:sz="0" w:space="0" w:color="auto"/>
        <w:right w:val="none" w:sz="0" w:space="0" w:color="auto"/>
      </w:divBdr>
    </w:div>
    <w:div w:id="250167383">
      <w:bodyDiv w:val="1"/>
      <w:marLeft w:val="0"/>
      <w:marRight w:val="0"/>
      <w:marTop w:val="0"/>
      <w:marBottom w:val="0"/>
      <w:divBdr>
        <w:top w:val="none" w:sz="0" w:space="0" w:color="auto"/>
        <w:left w:val="none" w:sz="0" w:space="0" w:color="auto"/>
        <w:bottom w:val="none" w:sz="0" w:space="0" w:color="auto"/>
        <w:right w:val="none" w:sz="0" w:space="0" w:color="auto"/>
      </w:divBdr>
    </w:div>
    <w:div w:id="478615840">
      <w:bodyDiv w:val="1"/>
      <w:marLeft w:val="0"/>
      <w:marRight w:val="0"/>
      <w:marTop w:val="0"/>
      <w:marBottom w:val="0"/>
      <w:divBdr>
        <w:top w:val="none" w:sz="0" w:space="0" w:color="auto"/>
        <w:left w:val="none" w:sz="0" w:space="0" w:color="auto"/>
        <w:bottom w:val="none" w:sz="0" w:space="0" w:color="auto"/>
        <w:right w:val="none" w:sz="0" w:space="0" w:color="auto"/>
      </w:divBdr>
      <w:divsChild>
        <w:div w:id="1931311407">
          <w:marLeft w:val="0"/>
          <w:marRight w:val="0"/>
          <w:marTop w:val="0"/>
          <w:marBottom w:val="0"/>
          <w:divBdr>
            <w:top w:val="none" w:sz="0" w:space="0" w:color="auto"/>
            <w:left w:val="none" w:sz="0" w:space="0" w:color="auto"/>
            <w:bottom w:val="none" w:sz="0" w:space="0" w:color="auto"/>
            <w:right w:val="none" w:sz="0" w:space="0" w:color="auto"/>
          </w:divBdr>
          <w:divsChild>
            <w:div w:id="1939559803">
              <w:marLeft w:val="0"/>
              <w:marRight w:val="0"/>
              <w:marTop w:val="0"/>
              <w:marBottom w:val="450"/>
              <w:divBdr>
                <w:top w:val="none" w:sz="0" w:space="0" w:color="auto"/>
                <w:left w:val="none" w:sz="0" w:space="0" w:color="auto"/>
                <w:bottom w:val="none" w:sz="0" w:space="0" w:color="auto"/>
                <w:right w:val="none" w:sz="0" w:space="0" w:color="auto"/>
              </w:divBdr>
              <w:divsChild>
                <w:div w:id="1832522669">
                  <w:marLeft w:val="0"/>
                  <w:marRight w:val="0"/>
                  <w:marTop w:val="0"/>
                  <w:marBottom w:val="0"/>
                  <w:divBdr>
                    <w:top w:val="none" w:sz="0" w:space="0" w:color="auto"/>
                    <w:left w:val="none" w:sz="0" w:space="0" w:color="auto"/>
                    <w:bottom w:val="none" w:sz="0" w:space="0" w:color="auto"/>
                    <w:right w:val="none" w:sz="0" w:space="0" w:color="auto"/>
                  </w:divBdr>
                  <w:divsChild>
                    <w:div w:id="1510829503">
                      <w:marLeft w:val="0"/>
                      <w:marRight w:val="0"/>
                      <w:marTop w:val="0"/>
                      <w:marBottom w:val="0"/>
                      <w:divBdr>
                        <w:top w:val="none" w:sz="0" w:space="0" w:color="auto"/>
                        <w:left w:val="none" w:sz="0" w:space="0" w:color="auto"/>
                        <w:bottom w:val="none" w:sz="0" w:space="0" w:color="auto"/>
                        <w:right w:val="none" w:sz="0" w:space="0" w:color="auto"/>
                      </w:divBdr>
                      <w:divsChild>
                        <w:div w:id="952594289">
                          <w:marLeft w:val="0"/>
                          <w:marRight w:val="0"/>
                          <w:marTop w:val="0"/>
                          <w:marBottom w:val="0"/>
                          <w:divBdr>
                            <w:top w:val="none" w:sz="0" w:space="0" w:color="auto"/>
                            <w:left w:val="none" w:sz="0" w:space="0" w:color="auto"/>
                            <w:bottom w:val="none" w:sz="0" w:space="0" w:color="auto"/>
                            <w:right w:val="none" w:sz="0" w:space="0" w:color="auto"/>
                          </w:divBdr>
                          <w:divsChild>
                            <w:div w:id="662515316">
                              <w:marLeft w:val="0"/>
                              <w:marRight w:val="0"/>
                              <w:marTop w:val="570"/>
                              <w:marBottom w:val="0"/>
                              <w:divBdr>
                                <w:top w:val="none" w:sz="0" w:space="0" w:color="auto"/>
                                <w:left w:val="none" w:sz="0" w:space="0" w:color="auto"/>
                                <w:bottom w:val="none" w:sz="0" w:space="0" w:color="auto"/>
                                <w:right w:val="none" w:sz="0" w:space="0" w:color="auto"/>
                              </w:divBdr>
                              <w:divsChild>
                                <w:div w:id="1200822218">
                                  <w:marLeft w:val="0"/>
                                  <w:marRight w:val="0"/>
                                  <w:marTop w:val="0"/>
                                  <w:marBottom w:val="0"/>
                                  <w:divBdr>
                                    <w:top w:val="none" w:sz="0" w:space="0" w:color="auto"/>
                                    <w:left w:val="none" w:sz="0" w:space="0" w:color="auto"/>
                                    <w:bottom w:val="none" w:sz="0" w:space="0" w:color="auto"/>
                                    <w:right w:val="none" w:sz="0" w:space="0" w:color="auto"/>
                                  </w:divBdr>
                                  <w:divsChild>
                                    <w:div w:id="599527927">
                                      <w:marLeft w:val="0"/>
                                      <w:marRight w:val="0"/>
                                      <w:marTop w:val="0"/>
                                      <w:marBottom w:val="0"/>
                                      <w:divBdr>
                                        <w:top w:val="none" w:sz="0" w:space="0" w:color="auto"/>
                                        <w:left w:val="none" w:sz="0" w:space="0" w:color="auto"/>
                                        <w:bottom w:val="none" w:sz="0" w:space="0" w:color="auto"/>
                                        <w:right w:val="none" w:sz="0" w:space="0" w:color="auto"/>
                                      </w:divBdr>
                                      <w:divsChild>
                                        <w:div w:id="804928704">
                                          <w:marLeft w:val="0"/>
                                          <w:marRight w:val="0"/>
                                          <w:marTop w:val="0"/>
                                          <w:marBottom w:val="0"/>
                                          <w:divBdr>
                                            <w:top w:val="none" w:sz="0" w:space="0" w:color="auto"/>
                                            <w:left w:val="none" w:sz="0" w:space="0" w:color="auto"/>
                                            <w:bottom w:val="none" w:sz="0" w:space="0" w:color="auto"/>
                                            <w:right w:val="none" w:sz="0" w:space="0" w:color="auto"/>
                                          </w:divBdr>
                                          <w:divsChild>
                                            <w:div w:id="136328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1961500">
      <w:bodyDiv w:val="1"/>
      <w:marLeft w:val="0"/>
      <w:marRight w:val="0"/>
      <w:marTop w:val="0"/>
      <w:marBottom w:val="0"/>
      <w:divBdr>
        <w:top w:val="none" w:sz="0" w:space="0" w:color="auto"/>
        <w:left w:val="none" w:sz="0" w:space="0" w:color="auto"/>
        <w:bottom w:val="none" w:sz="0" w:space="0" w:color="auto"/>
        <w:right w:val="none" w:sz="0" w:space="0" w:color="auto"/>
      </w:divBdr>
    </w:div>
    <w:div w:id="703287437">
      <w:bodyDiv w:val="1"/>
      <w:marLeft w:val="0"/>
      <w:marRight w:val="0"/>
      <w:marTop w:val="0"/>
      <w:marBottom w:val="0"/>
      <w:divBdr>
        <w:top w:val="none" w:sz="0" w:space="0" w:color="auto"/>
        <w:left w:val="none" w:sz="0" w:space="0" w:color="auto"/>
        <w:bottom w:val="none" w:sz="0" w:space="0" w:color="auto"/>
        <w:right w:val="none" w:sz="0" w:space="0" w:color="auto"/>
      </w:divBdr>
    </w:div>
    <w:div w:id="744835566">
      <w:bodyDiv w:val="1"/>
      <w:marLeft w:val="0"/>
      <w:marRight w:val="0"/>
      <w:marTop w:val="0"/>
      <w:marBottom w:val="0"/>
      <w:divBdr>
        <w:top w:val="none" w:sz="0" w:space="0" w:color="auto"/>
        <w:left w:val="none" w:sz="0" w:space="0" w:color="auto"/>
        <w:bottom w:val="none" w:sz="0" w:space="0" w:color="auto"/>
        <w:right w:val="none" w:sz="0" w:space="0" w:color="auto"/>
      </w:divBdr>
    </w:div>
    <w:div w:id="805776591">
      <w:bodyDiv w:val="1"/>
      <w:marLeft w:val="0"/>
      <w:marRight w:val="0"/>
      <w:marTop w:val="0"/>
      <w:marBottom w:val="0"/>
      <w:divBdr>
        <w:top w:val="none" w:sz="0" w:space="0" w:color="auto"/>
        <w:left w:val="none" w:sz="0" w:space="0" w:color="auto"/>
        <w:bottom w:val="none" w:sz="0" w:space="0" w:color="auto"/>
        <w:right w:val="none" w:sz="0" w:space="0" w:color="auto"/>
      </w:divBdr>
    </w:div>
    <w:div w:id="965231298">
      <w:bodyDiv w:val="1"/>
      <w:marLeft w:val="0"/>
      <w:marRight w:val="0"/>
      <w:marTop w:val="0"/>
      <w:marBottom w:val="0"/>
      <w:divBdr>
        <w:top w:val="none" w:sz="0" w:space="0" w:color="auto"/>
        <w:left w:val="none" w:sz="0" w:space="0" w:color="auto"/>
        <w:bottom w:val="none" w:sz="0" w:space="0" w:color="auto"/>
        <w:right w:val="none" w:sz="0" w:space="0" w:color="auto"/>
      </w:divBdr>
    </w:div>
    <w:div w:id="1008681171">
      <w:bodyDiv w:val="1"/>
      <w:marLeft w:val="0"/>
      <w:marRight w:val="0"/>
      <w:marTop w:val="0"/>
      <w:marBottom w:val="0"/>
      <w:divBdr>
        <w:top w:val="none" w:sz="0" w:space="0" w:color="auto"/>
        <w:left w:val="none" w:sz="0" w:space="0" w:color="auto"/>
        <w:bottom w:val="none" w:sz="0" w:space="0" w:color="auto"/>
        <w:right w:val="none" w:sz="0" w:space="0" w:color="auto"/>
      </w:divBdr>
    </w:div>
    <w:div w:id="1052264746">
      <w:bodyDiv w:val="1"/>
      <w:marLeft w:val="0"/>
      <w:marRight w:val="0"/>
      <w:marTop w:val="0"/>
      <w:marBottom w:val="0"/>
      <w:divBdr>
        <w:top w:val="none" w:sz="0" w:space="0" w:color="auto"/>
        <w:left w:val="none" w:sz="0" w:space="0" w:color="auto"/>
        <w:bottom w:val="none" w:sz="0" w:space="0" w:color="auto"/>
        <w:right w:val="none" w:sz="0" w:space="0" w:color="auto"/>
      </w:divBdr>
    </w:div>
    <w:div w:id="1127357266">
      <w:bodyDiv w:val="1"/>
      <w:marLeft w:val="0"/>
      <w:marRight w:val="0"/>
      <w:marTop w:val="0"/>
      <w:marBottom w:val="0"/>
      <w:divBdr>
        <w:top w:val="none" w:sz="0" w:space="0" w:color="auto"/>
        <w:left w:val="none" w:sz="0" w:space="0" w:color="auto"/>
        <w:bottom w:val="none" w:sz="0" w:space="0" w:color="auto"/>
        <w:right w:val="none" w:sz="0" w:space="0" w:color="auto"/>
      </w:divBdr>
      <w:divsChild>
        <w:div w:id="364671209">
          <w:marLeft w:val="0"/>
          <w:marRight w:val="0"/>
          <w:marTop w:val="0"/>
          <w:marBottom w:val="0"/>
          <w:divBdr>
            <w:top w:val="none" w:sz="0" w:space="0" w:color="auto"/>
            <w:left w:val="none" w:sz="0" w:space="0" w:color="auto"/>
            <w:bottom w:val="none" w:sz="0" w:space="0" w:color="auto"/>
            <w:right w:val="none" w:sz="0" w:space="0" w:color="auto"/>
          </w:divBdr>
        </w:div>
      </w:divsChild>
    </w:div>
    <w:div w:id="1211384246">
      <w:bodyDiv w:val="1"/>
      <w:marLeft w:val="0"/>
      <w:marRight w:val="0"/>
      <w:marTop w:val="0"/>
      <w:marBottom w:val="0"/>
      <w:divBdr>
        <w:top w:val="none" w:sz="0" w:space="0" w:color="auto"/>
        <w:left w:val="none" w:sz="0" w:space="0" w:color="auto"/>
        <w:bottom w:val="none" w:sz="0" w:space="0" w:color="auto"/>
        <w:right w:val="none" w:sz="0" w:space="0" w:color="auto"/>
      </w:divBdr>
    </w:div>
    <w:div w:id="1246384021">
      <w:bodyDiv w:val="1"/>
      <w:marLeft w:val="0"/>
      <w:marRight w:val="0"/>
      <w:marTop w:val="0"/>
      <w:marBottom w:val="0"/>
      <w:divBdr>
        <w:top w:val="none" w:sz="0" w:space="0" w:color="auto"/>
        <w:left w:val="none" w:sz="0" w:space="0" w:color="auto"/>
        <w:bottom w:val="none" w:sz="0" w:space="0" w:color="auto"/>
        <w:right w:val="none" w:sz="0" w:space="0" w:color="auto"/>
      </w:divBdr>
    </w:div>
    <w:div w:id="1267157555">
      <w:bodyDiv w:val="1"/>
      <w:marLeft w:val="0"/>
      <w:marRight w:val="0"/>
      <w:marTop w:val="0"/>
      <w:marBottom w:val="0"/>
      <w:divBdr>
        <w:top w:val="none" w:sz="0" w:space="0" w:color="auto"/>
        <w:left w:val="none" w:sz="0" w:space="0" w:color="auto"/>
        <w:bottom w:val="none" w:sz="0" w:space="0" w:color="auto"/>
        <w:right w:val="none" w:sz="0" w:space="0" w:color="auto"/>
      </w:divBdr>
    </w:div>
    <w:div w:id="1633094182">
      <w:bodyDiv w:val="1"/>
      <w:marLeft w:val="0"/>
      <w:marRight w:val="0"/>
      <w:marTop w:val="0"/>
      <w:marBottom w:val="0"/>
      <w:divBdr>
        <w:top w:val="none" w:sz="0" w:space="0" w:color="auto"/>
        <w:left w:val="none" w:sz="0" w:space="0" w:color="auto"/>
        <w:bottom w:val="none" w:sz="0" w:space="0" w:color="auto"/>
        <w:right w:val="none" w:sz="0" w:space="0" w:color="auto"/>
      </w:divBdr>
    </w:div>
    <w:div w:id="212252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0564F-4067-42C4-A682-1D8D6B30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1429</Words>
  <Characters>9095</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Borremans, Wouter</dc:creator>
  <cp:keywords/>
  <dc:description/>
  <cp:lastModifiedBy>Borremans Wouter</cp:lastModifiedBy>
  <cp:revision>4</cp:revision>
  <cp:lastPrinted>2017-11-30T14:43:00Z</cp:lastPrinted>
  <dcterms:created xsi:type="dcterms:W3CDTF">2023-02-20T14:31:00Z</dcterms:created>
  <dcterms:modified xsi:type="dcterms:W3CDTF">2023-02-20T14:37:00Z</dcterms:modified>
</cp:coreProperties>
</file>